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162a7a2d9d481ca6f4461f48d5bbbb360fcde2b"/>
    <w:p>
      <w:pPr>
        <w:pStyle w:val="Heading1"/>
      </w:pPr>
      <w:r>
        <w:t xml:space="preserve">Public Storage (NYSE: PSA) — Q2 2026 Earnings Preview</w:t>
      </w:r>
    </w:p>
    <w:p>
      <w:pPr>
        <w:pStyle w:val="BlockText"/>
      </w:pPr>
      <w:r>
        <w:rPr>
          <w:b/>
          <w:bCs/>
        </w:rPr>
        <w:t xml:space="preserve">Timing clarification:</w:t>
      </w:r>
      <w:r>
        <w:t xml:space="preserve"> </w:t>
      </w:r>
      <w:r>
        <w:t xml:space="preserve">Public Storage is scheduled to release Q2 results</w:t>
      </w:r>
      <w:r>
        <w:t xml:space="preserve"> </w:t>
      </w:r>
      <w:r>
        <w:rPr>
          <w:b/>
          <w:bCs/>
        </w:rPr>
        <w:t xml:space="preserve">after the market closes today, Wednesday, July 29, 2026</w:t>
      </w:r>
      <w:r>
        <w:t xml:space="preserve">. The earnings call is</w:t>
      </w:r>
      <w:r>
        <w:t xml:space="preserve"> </w:t>
      </w:r>
      <w:r>
        <w:rPr>
          <w:b/>
          <w:bCs/>
        </w:rPr>
        <w:t xml:space="preserve">tomorrow, Thursday, July 30, at 11:00 a.m. Central Time</w:t>
      </w:r>
      <w:r>
        <w:t xml:space="preserve">. (</w:t>
      </w:r>
      <w:hyperlink r:id="rId9">
        <w:r>
          <w:rPr>
            <w:rStyle w:val="Hyperlink"/>
          </w:rPr>
          <w:t xml:space="preserve">investors.publicstorage.com</w:t>
        </w:r>
      </w:hyperlink>
      <w:r>
        <w:t xml:space="preserve">)</w:t>
      </w:r>
    </w:p>
    <w:bookmarkStart w:id="10" w:name="investment-view-going-into-the-report"/>
    <w:p>
      <w:pPr>
        <w:pStyle w:val="Heading2"/>
      </w:pPr>
      <w:r>
        <w:t xml:space="preserve">Investment view going into the report</w:t>
      </w:r>
    </w:p>
    <w:p>
      <w:pPr>
        <w:pStyle w:val="FirstParagraph"/>
      </w:pPr>
      <w:r>
        <w:t xml:space="preserve">This report has two distinct components:</w:t>
      </w:r>
    </w:p>
    <w:p>
      <w:pPr>
        <w:pStyle w:val="Compact"/>
        <w:numPr>
          <w:ilvl w:val="0"/>
          <w:numId w:val="1001"/>
        </w:numPr>
      </w:pPr>
      <w:r>
        <w:rPr>
          <w:b/>
          <w:bCs/>
        </w:rPr>
        <w:t xml:space="preserve">How PSA’s legacy portfolio performed during the important spring leasing season.</w:t>
      </w:r>
    </w:p>
    <w:p>
      <w:pPr>
        <w:pStyle w:val="Compact"/>
        <w:numPr>
          <w:ilvl w:val="0"/>
          <w:numId w:val="1001"/>
        </w:numPr>
      </w:pPr>
      <w:r>
        <w:rPr>
          <w:b/>
          <w:bCs/>
        </w:rPr>
        <w:t xml:space="preserve">How management reframes the outlook following the July 22 closing of National Storage Affiliates and the pending acquisition of Public Storage Canada.</w:t>
      </w:r>
    </w:p>
    <w:p>
      <w:pPr>
        <w:pStyle w:val="FirstParagraph"/>
      </w:pPr>
      <w:r>
        <w:t xml:space="preserve">The second item is likely to matter more for the stock. NSA closed after June 30, so it will not materially affect reported Q2 property results. Nevertheless, investors will expect a substantially more detailed post-closing outlook covering integration expenses, synergies, financing, leverage and 2026–2027 accretion.</w:t>
      </w:r>
    </w:p>
    <w:p>
      <w:pPr>
        <w:pStyle w:val="BodyText"/>
      </w:pPr>
      <w:r>
        <w:t xml:space="preserve">PSA shares closed at</w:t>
      </w:r>
      <w:r>
        <w:t xml:space="preserve"> </w:t>
      </w:r>
      <w:r>
        <w:rPr>
          <w:b/>
          <w:bCs/>
        </w:rPr>
        <w:t xml:space="preserve">$330.51 on July 28</w:t>
      </w:r>
      <w:r>
        <w:t xml:space="preserve">, up approximately</w:t>
      </w:r>
      <w:r>
        <w:t xml:space="preserve"> </w:t>
      </w:r>
      <w:r>
        <w:rPr>
          <w:b/>
          <w:bCs/>
        </w:rPr>
        <w:t xml:space="preserve">28% from the first trading day of 2026</w:t>
      </w:r>
      <w:r>
        <w:t xml:space="preserve">. At that price, the stock trades at roughly</w:t>
      </w:r>
      <w:r>
        <w:t xml:space="preserve"> </w:t>
      </w:r>
      <w:r>
        <w:rPr>
          <w:b/>
          <w:bCs/>
        </w:rPr>
        <w:t xml:space="preserve">19.8 times the midpoint of existing 2026 Core FFO guidance</w:t>
      </w:r>
      <w:r>
        <w:t xml:space="preserve">, with a dividend yield of approximately</w:t>
      </w:r>
      <w:r>
        <w:t xml:space="preserve"> </w:t>
      </w:r>
      <w:r>
        <w:rPr>
          <w:b/>
          <w:bCs/>
        </w:rPr>
        <w:t xml:space="preserve">3.6%</w:t>
      </w:r>
      <w:r>
        <w:t xml:space="preserve">. Expectations are therefore materially higher than they were at the start of the year.</w:t>
      </w:r>
    </w:p>
    <w:p>
      <w:r>
        <w:pict>
          <v:rect style="width:0;height:1.5pt" o:hralign="center" o:hrstd="t" o:hr="t"/>
        </w:pict>
      </w:r>
    </w:p>
    <w:bookmarkEnd w:id="10"/>
    <w:bookmarkStart w:id="13" w:name="the-headline-numbers"/>
    <w:p>
      <w:pPr>
        <w:pStyle w:val="Heading2"/>
      </w:pPr>
      <w:r>
        <w:t xml:space="preserve">The headline numbers</w:t>
      </w:r>
    </w:p>
    <w:p>
      <w:pPr>
        <w:pStyle w:val="FirstParagraph"/>
      </w:pPr>
      <w:r>
        <w:t xml:space="preserve">Estimates vary by provider, but the current Zacks consensus calls for: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Q2 metric</w:t>
            </w:r>
          </w:p>
        </w:tc>
        <w:tc>
          <w:tcPr/>
          <w:p>
            <w:pPr>
              <w:pStyle w:val="Compact"/>
              <w:jc w:val="right"/>
            </w:pPr>
            <w:r>
              <w:t xml:space="preserve">Consensus</w:t>
            </w:r>
          </w:p>
        </w:tc>
        <w:tc>
          <w:tcPr/>
          <w:p>
            <w:pPr>
              <w:pStyle w:val="Compact"/>
              <w:jc w:val="right"/>
            </w:pPr>
            <w:r>
              <w:t xml:space="preserve">Year-ago result</w:t>
            </w:r>
          </w:p>
        </w:tc>
        <w:tc>
          <w:tcPr/>
          <w:p>
            <w:pPr>
              <w:pStyle w:val="Compact"/>
              <w:jc w:val="right"/>
            </w:pPr>
            <w:r>
              <w:t xml:space="preserve">Implied change</w:t>
            </w:r>
          </w:p>
        </w:tc>
      </w:tr>
      <w:tr>
        <w:tc>
          <w:tcPr/>
          <w:p>
            <w:pPr>
              <w:pStyle w:val="Compact"/>
            </w:pPr>
            <w:r>
              <w:t xml:space="preserve">Core FFO per share</w:t>
            </w:r>
          </w:p>
        </w:tc>
        <w:tc>
          <w:tcPr/>
          <w:p>
            <w:pPr>
              <w:pStyle w:val="Compact"/>
              <w:jc w:val="right"/>
            </w:pPr>
            <w:r>
              <w:rPr>
                <w:b/>
                <w:bCs/>
              </w:rPr>
              <w:t xml:space="preserve">$4.25</w:t>
            </w:r>
          </w:p>
        </w:tc>
        <w:tc>
          <w:tcPr/>
          <w:p>
            <w:pPr>
              <w:pStyle w:val="Compact"/>
              <w:jc w:val="right"/>
            </w:pPr>
            <w:r>
              <w:t xml:space="preserve">$4.28</w:t>
            </w:r>
          </w:p>
        </w:tc>
        <w:tc>
          <w:tcPr/>
          <w:p>
            <w:pPr>
              <w:pStyle w:val="Compact"/>
              <w:jc w:val="right"/>
            </w:pPr>
            <w:r>
              <w:t xml:space="preserve">Approximately -1%</w:t>
            </w:r>
          </w:p>
        </w:tc>
      </w:tr>
      <w:tr>
        <w:tc>
          <w:tcPr/>
          <w:p>
            <w:pPr>
              <w:pStyle w:val="Compact"/>
            </w:pPr>
            <w:r>
              <w:t xml:space="preserve">Total revenue</w:t>
            </w:r>
          </w:p>
        </w:tc>
        <w:tc>
          <w:tcPr/>
          <w:p>
            <w:pPr>
              <w:pStyle w:val="Compact"/>
              <w:jc w:val="right"/>
            </w:pPr>
            <w:r>
              <w:rPr>
                <w:b/>
                <w:bCs/>
              </w:rPr>
              <w:t xml:space="preserve">$1.21 billion</w:t>
            </w:r>
          </w:p>
        </w:tc>
        <w:tc>
          <w:tcPr/>
          <w:p>
            <w:pPr>
              <w:pStyle w:val="Compact"/>
              <w:jc w:val="right"/>
            </w:pPr>
            <w:r>
              <w:t xml:space="preserve">$1.20 billion</w:t>
            </w:r>
          </w:p>
        </w:tc>
        <w:tc>
          <w:tcPr/>
          <w:p>
            <w:pPr>
              <w:pStyle w:val="Compact"/>
              <w:jc w:val="right"/>
            </w:pPr>
            <w:r>
              <w:t xml:space="preserve">Approximately +1%</w:t>
            </w:r>
          </w:p>
        </w:tc>
      </w:tr>
      <w:tr>
        <w:tc>
          <w:tcPr/>
          <w:p>
            <w:pPr>
              <w:pStyle w:val="Compact"/>
            </w:pPr>
            <w:r>
              <w:t xml:space="preserve">Self-storage revenue</w:t>
            </w:r>
          </w:p>
        </w:tc>
        <w:tc>
          <w:tcPr/>
          <w:p>
            <w:pPr>
              <w:pStyle w:val="Compact"/>
              <w:jc w:val="right"/>
            </w:pPr>
            <w:r>
              <w:rPr>
                <w:b/>
                <w:bCs/>
              </w:rPr>
              <w:t xml:space="preserve">$1.14 billion</w:t>
            </w:r>
          </w:p>
        </w:tc>
        <w:tc>
          <w:tcPr/>
          <w:p>
            <w:pPr>
              <w:pStyle w:val="Compact"/>
              <w:jc w:val="right"/>
            </w:pPr>
            <w:r>
              <w:t xml:space="preserve">$1.12 billion</w:t>
            </w:r>
          </w:p>
        </w:tc>
        <w:tc>
          <w:tcPr/>
          <w:p>
            <w:pPr>
              <w:pStyle w:val="Compact"/>
              <w:jc w:val="right"/>
            </w:pPr>
            <w:r>
              <w:t xml:space="preserve">Approximately +2%</w:t>
            </w:r>
          </w:p>
        </w:tc>
      </w:tr>
      <w:tr>
        <w:tc>
          <w:tcPr/>
          <w:p>
            <w:pPr>
              <w:pStyle w:val="Compact"/>
            </w:pPr>
            <w:r>
              <w:t xml:space="preserve">Ancillary revenue</w:t>
            </w:r>
          </w:p>
        </w:tc>
        <w:tc>
          <w:tcPr/>
          <w:p>
            <w:pPr>
              <w:pStyle w:val="Compact"/>
              <w:jc w:val="right"/>
            </w:pPr>
            <w:r>
              <w:rPr>
                <w:b/>
                <w:bCs/>
              </w:rPr>
              <w:t xml:space="preserve">$90.8 million</w:t>
            </w:r>
          </w:p>
        </w:tc>
        <w:tc>
          <w:tcPr/>
          <w:p>
            <w:pPr>
              <w:pStyle w:val="Compact"/>
              <w:jc w:val="right"/>
            </w:pPr>
            <w:r>
              <w:t xml:space="preserve">$82.4 million</w:t>
            </w:r>
          </w:p>
        </w:tc>
        <w:tc>
          <w:tcPr/>
          <w:p>
            <w:pPr>
              <w:pStyle w:val="Compact"/>
              <w:jc w:val="right"/>
            </w:pPr>
            <w:r>
              <w:t xml:space="preserve">Approximately +10%</w:t>
            </w:r>
          </w:p>
        </w:tc>
      </w:tr>
    </w:tbl>
    <w:p>
      <w:pPr>
        <w:pStyle w:val="BodyText"/>
      </w:pPr>
      <w:r>
        <w:t xml:space="preserve">The $4.25 Core FFO estimate would be slightly below Q2 2025 but above Q1 2026’s $4.22. PSA has exceeded the Zacks Core FFO consensus in each of the last four quarters. (</w:t>
      </w:r>
      <w:hyperlink r:id="rId11">
        <w:r>
          <w:rPr>
            <w:rStyle w:val="Hyperlink"/>
          </w:rPr>
          <w:t xml:space="preserve">au.finance.yahoo.com</w:t>
        </w:r>
      </w:hyperlink>
      <w:r>
        <w:t xml:space="preserve">)</w:t>
      </w:r>
    </w:p>
    <w:p>
      <w:pPr>
        <w:pStyle w:val="BodyText"/>
      </w:pPr>
      <w:r>
        <w:t xml:space="preserve">Existing full-year guidance is:</w:t>
      </w:r>
    </w:p>
    <w:p>
      <w:pPr>
        <w:pStyle w:val="Compact"/>
        <w:numPr>
          <w:ilvl w:val="0"/>
          <w:numId w:val="1002"/>
        </w:numPr>
      </w:pPr>
      <w:r>
        <w:rPr>
          <w:b/>
          <w:bCs/>
        </w:rPr>
        <w:t xml:space="preserve">Core FFO per share:</w:t>
      </w:r>
      <w:r>
        <w:t xml:space="preserve"> </w:t>
      </w:r>
      <m:oMath>
        <m:r>
          <m:t>16.35</m:t>
        </m:r>
        <m:r>
          <m:rPr>
            <m:sty m:val="p"/>
          </m:rPr>
          <m:t>–</m:t>
        </m:r>
      </m:oMath>
      <w:r>
        <w:t xml:space="preserve">17.00</w:t>
      </w:r>
    </w:p>
    <w:p>
      <w:pPr>
        <w:pStyle w:val="Compact"/>
        <w:numPr>
          <w:ilvl w:val="0"/>
          <w:numId w:val="1002"/>
        </w:numPr>
      </w:pPr>
      <w:r>
        <w:rPr>
          <w:b/>
          <w:bCs/>
        </w:rPr>
        <w:t xml:space="preserve">Same-store revenue growth:</w:t>
      </w:r>
      <w:r>
        <w:t xml:space="preserve"> </w:t>
      </w:r>
      <w:r>
        <w:t xml:space="preserve">-2.2% to 0%</w:t>
      </w:r>
    </w:p>
    <w:p>
      <w:pPr>
        <w:pStyle w:val="Compact"/>
        <w:numPr>
          <w:ilvl w:val="0"/>
          <w:numId w:val="1002"/>
        </w:numPr>
      </w:pPr>
      <w:r>
        <w:rPr>
          <w:b/>
          <w:bCs/>
        </w:rPr>
        <w:t xml:space="preserve">Same-store expense growth:</w:t>
      </w:r>
      <w:r>
        <w:t xml:space="preserve"> </w:t>
      </w:r>
      <w:r>
        <w:t xml:space="preserve">+1.5% to +2.8%</w:t>
      </w:r>
    </w:p>
    <w:p>
      <w:pPr>
        <w:pStyle w:val="Compact"/>
        <w:numPr>
          <w:ilvl w:val="0"/>
          <w:numId w:val="1002"/>
        </w:numPr>
      </w:pPr>
      <w:r>
        <w:rPr>
          <w:b/>
          <w:bCs/>
        </w:rPr>
        <w:t xml:space="preserve">Same-store NOI growth:</w:t>
      </w:r>
      <w:r>
        <w:t xml:space="preserve"> </w:t>
      </w:r>
      <w:r>
        <w:t xml:space="preserve">-3.9% to -0.5%</w:t>
      </w:r>
    </w:p>
    <w:p>
      <w:pPr>
        <w:pStyle w:val="Compact"/>
        <w:numPr>
          <w:ilvl w:val="0"/>
          <w:numId w:val="1002"/>
        </w:numPr>
      </w:pPr>
      <w:r>
        <w:rPr>
          <w:b/>
          <w:bCs/>
        </w:rPr>
        <w:t xml:space="preserve">Non-same-store NOI:</w:t>
      </w:r>
      <w:r>
        <w:t xml:space="preserve"> </w:t>
      </w:r>
      <m:oMath>
        <m:r>
          <m:t>335</m:t>
        </m:r>
        <m:r>
          <m:rPr>
            <m:sty m:val="p"/>
          </m:rPr>
          <m:t>–</m:t>
        </m:r>
      </m:oMath>
      <w:r>
        <w:t xml:space="preserve">355 million</w:t>
      </w:r>
    </w:p>
    <w:p>
      <w:pPr>
        <w:pStyle w:val="FirstParagraph"/>
      </w:pPr>
      <w:r>
        <w:t xml:space="preserve">At the</w:t>
      </w:r>
      <w:r>
        <w:t xml:space="preserve"> </w:t>
      </w:r>
      <m:oMath>
        <m:r>
          <m:t>4.25</m:t>
        </m:r>
        <m:r>
          <m:t>c</m:t>
        </m:r>
        <m:r>
          <m:t>o</m:t>
        </m:r>
        <m:r>
          <m:t>n</m:t>
        </m:r>
        <m:r>
          <m:t>s</m:t>
        </m:r>
        <m:r>
          <m:t>e</m:t>
        </m:r>
        <m:r>
          <m:t>n</m:t>
        </m:r>
        <m:r>
          <m:t>s</m:t>
        </m:r>
        <m:r>
          <m:t>u</m:t>
        </m:r>
        <m:r>
          <m:t>s</m:t>
        </m:r>
        <m:r>
          <m:rPr>
            <m:sty m:val="p"/>
          </m:rPr>
          <m:t>,</m:t>
        </m:r>
        <m:r>
          <m:t>f</m:t>
        </m:r>
        <m:r>
          <m:t>i</m:t>
        </m:r>
        <m:r>
          <m:t>r</m:t>
        </m:r>
        <m:r>
          <m:t>s</m:t>
        </m:r>
        <m:r>
          <m:t>t</m:t>
        </m:r>
        <m:r>
          <m:rPr>
            <m:sty m:val="p"/>
          </m:rPr>
          <m:t>−</m:t>
        </m:r>
        <m:r>
          <m:t>h</m:t>
        </m:r>
        <m:r>
          <m:t>a</m:t>
        </m:r>
        <m:r>
          <m:t>l</m:t>
        </m:r>
        <m:r>
          <m:t>f</m:t>
        </m:r>
        <m:r>
          <m:t>C</m:t>
        </m:r>
        <m:r>
          <m:t>o</m:t>
        </m:r>
        <m:r>
          <m:t>r</m:t>
        </m:r>
        <m:r>
          <m:t>e</m:t>
        </m:r>
        <m:r>
          <m:t>F</m:t>
        </m:r>
        <m:r>
          <m:t>F</m:t>
        </m:r>
        <m:r>
          <m:t>O</m:t>
        </m:r>
        <m:r>
          <m:t>w</m:t>
        </m:r>
        <m:r>
          <m:t>o</m:t>
        </m:r>
        <m:r>
          <m:t>u</m:t>
        </m:r>
        <m:r>
          <m:t>l</m:t>
        </m:r>
        <m:r>
          <m:t>d</m:t>
        </m:r>
        <m:r>
          <m:t>t</m:t>
        </m:r>
        <m:r>
          <m:t>o</m:t>
        </m:r>
        <m:r>
          <m:t>t</m:t>
        </m:r>
        <m:r>
          <m:t>a</m:t>
        </m:r>
        <m:r>
          <m:t>l</m:t>
        </m:r>
        <m:r>
          <m:t>a</m:t>
        </m:r>
        <m:r>
          <m:t>p</m:t>
        </m:r>
        <m:r>
          <m:t>p</m:t>
        </m:r>
        <m:r>
          <m:t>r</m:t>
        </m:r>
        <m:r>
          <m:t>o</m:t>
        </m:r>
        <m:r>
          <m:t>x</m:t>
        </m:r>
        <m:r>
          <m:t>i</m:t>
        </m:r>
        <m:r>
          <m:t>m</m:t>
        </m:r>
        <m:r>
          <m:t>a</m:t>
        </m:r>
        <m:r>
          <m:t>t</m:t>
        </m:r>
        <m:r>
          <m:t>e</m:t>
        </m:r>
        <m:r>
          <m:t>l</m:t>
        </m:r>
        <m:r>
          <m:t>y</m:t>
        </m:r>
        <m:r>
          <m:rPr>
            <m:sty m:val="p"/>
          </m:rPr>
          <m:t>*</m:t>
        </m:r>
        <m:r>
          <m:rPr>
            <m:sty m:val="p"/>
          </m:rPr>
          <m:t>*</m:t>
        </m:r>
      </m:oMath>
      <w:r>
        <w:t xml:space="preserve">8.47 per share**. Hitting the old guidance midpoint would then require approximately</w:t>
      </w:r>
      <w:r>
        <w:t xml:space="preserve"> </w:t>
      </w:r>
      <w:r>
        <w:rPr>
          <w:b/>
          <w:bCs/>
        </w:rPr>
        <w:t xml:space="preserve">$4.10 per quarter in the second half</w:t>
      </w:r>
      <w:r>
        <w:t xml:space="preserve">, although this simple calculation does not account for the new NSA share count, transaction costs or post-closing operations. PSA reported Q1 Core FFO of $4.22, same-store revenue growth of 0%, same-store NOI growth of 0.4% and a 40-basis-point increase in average occupancy. (</w:t>
      </w:r>
      <w:hyperlink r:id="rId12">
        <w:r>
          <w:rPr>
            <w:rStyle w:val="Hyperlink"/>
          </w:rPr>
          <w:t xml:space="preserve">sec.gov</w:t>
        </w:r>
      </w:hyperlink>
      <w:r>
        <w:t xml:space="preserve">)</w:t>
      </w:r>
    </w:p>
    <w:p>
      <w:r>
        <w:pict>
          <v:rect style="width:0;height:1.5pt" o:hralign="center" o:hrstd="t" o:hr="t"/>
        </w:pict>
      </w:r>
    </w:p>
    <w:bookmarkEnd w:id="13"/>
    <w:bookmarkStart w:id="15" w:name="Xc90e85d213c8afe4f070cf4e4d36115e2904f0a"/>
    <w:p>
      <w:pPr>
        <w:pStyle w:val="Heading2"/>
      </w:pPr>
      <w:r>
        <w:t xml:space="preserve">1. Organic storage trends: leading indicators versus reported revenue</w:t>
      </w:r>
    </w:p>
    <w:p>
      <w:pPr>
        <w:pStyle w:val="FirstParagraph"/>
      </w:pPr>
      <w:r>
        <w:t xml:space="preserve">The most important operating question is whether PSA’s improving leading indicators survived the spring leasing season.</w:t>
      </w:r>
    </w:p>
    <w:p>
      <w:pPr>
        <w:pStyle w:val="BodyText"/>
      </w:pPr>
      <w:r>
        <w:t xml:space="preserve">In Q1:</w:t>
      </w:r>
    </w:p>
    <w:p>
      <w:pPr>
        <w:pStyle w:val="Compact"/>
        <w:numPr>
          <w:ilvl w:val="0"/>
          <w:numId w:val="1003"/>
        </w:numPr>
      </w:pPr>
      <w:r>
        <w:t xml:space="preserve">Move-in rental rates were down</w:t>
      </w:r>
      <w:r>
        <w:t xml:space="preserve"> </w:t>
      </w:r>
      <w:r>
        <w:rPr>
          <w:b/>
          <w:bCs/>
        </w:rPr>
        <w:t xml:space="preserve">2.4%</w:t>
      </w:r>
      <w:r>
        <w:t xml:space="preserve">, but materially better than management had expected.</w:t>
      </w:r>
    </w:p>
    <w:p>
      <w:pPr>
        <w:pStyle w:val="Compact"/>
        <w:numPr>
          <w:ilvl w:val="0"/>
          <w:numId w:val="1003"/>
        </w:numPr>
      </w:pPr>
      <w:r>
        <w:t xml:space="preserve">Average occupancy increased</w:t>
      </w:r>
      <w:r>
        <w:t xml:space="preserve"> </w:t>
      </w:r>
      <w:r>
        <w:rPr>
          <w:b/>
          <w:bCs/>
        </w:rPr>
        <w:t xml:space="preserve">40 basis points year over year</w:t>
      </w:r>
      <w:r>
        <w:t xml:space="preserve"> </w:t>
      </w:r>
      <w:r>
        <w:t xml:space="preserve">to 91.5%.</w:t>
      </w:r>
    </w:p>
    <w:p>
      <w:pPr>
        <w:pStyle w:val="Compact"/>
        <w:numPr>
          <w:ilvl w:val="0"/>
          <w:numId w:val="1003"/>
        </w:numPr>
      </w:pPr>
      <w:r>
        <w:t xml:space="preserve">Customer churn and move-outs declined.</w:t>
      </w:r>
    </w:p>
    <w:p>
      <w:pPr>
        <w:pStyle w:val="Compact"/>
        <w:numPr>
          <w:ilvl w:val="0"/>
          <w:numId w:val="1003"/>
        </w:numPr>
      </w:pPr>
      <w:r>
        <w:t xml:space="preserve">Promotions and marketing spending fell.</w:t>
      </w:r>
    </w:p>
    <w:p>
      <w:pPr>
        <w:pStyle w:val="Compact"/>
        <w:numPr>
          <w:ilvl w:val="0"/>
          <w:numId w:val="1003"/>
        </w:numPr>
      </w:pPr>
      <w:r>
        <w:t xml:space="preserve">Management said April move-in rates had improved to roughly flat or slightly positive.</w:t>
      </w:r>
    </w:p>
    <w:p>
      <w:pPr>
        <w:pStyle w:val="FirstParagraph"/>
      </w:pPr>
      <w:r>
        <w:t xml:space="preserve">Those trends were encouraging, but management also warned that reported same-store revenue growth would probably weaken during Q2 and Q3. Lower move-in rates from the second half of 2025 continue to flow through the existing rent roll, making reported revenue a lagging indicator.</w:t>
      </w:r>
    </w:p>
    <w:bookmarkStart w:id="14" w:name="X6f2749fdeced32dd39627b18edb2803d83107f9"/>
    <w:p>
      <w:pPr>
        <w:pStyle w:val="Heading3"/>
      </w:pPr>
      <w:r>
        <w:t xml:space="preserve">Metrics that will determine the quality of the quarter</w:t>
      </w:r>
    </w:p>
    <w:p>
      <w:pPr>
        <w:pStyle w:val="Compact"/>
        <w:numPr>
          <w:ilvl w:val="0"/>
          <w:numId w:val="1004"/>
        </w:numPr>
      </w:pPr>
      <w:r>
        <w:rPr>
          <w:b/>
          <w:bCs/>
        </w:rPr>
        <w:t xml:space="preserve">Move-in rent growth:</w:t>
      </w:r>
      <w:r>
        <w:t xml:space="preserve"> </w:t>
      </w:r>
      <w:r>
        <w:t xml:space="preserve">Flat or positive would support the view that pricing has bottomed.</w:t>
      </w:r>
    </w:p>
    <w:p>
      <w:pPr>
        <w:pStyle w:val="Compact"/>
        <w:numPr>
          <w:ilvl w:val="0"/>
          <w:numId w:val="1004"/>
        </w:numPr>
      </w:pPr>
      <w:r>
        <w:rPr>
          <w:b/>
          <w:bCs/>
        </w:rPr>
        <w:t xml:space="preserve">Move-out volume and churn:</w:t>
      </w:r>
      <w:r>
        <w:t xml:space="preserve"> </w:t>
      </w:r>
      <w:r>
        <w:t xml:space="preserve">Continued retention strength would preserve occupancy and reduce the inventory PSA needs to re-lease.</w:t>
      </w:r>
    </w:p>
    <w:p>
      <w:pPr>
        <w:pStyle w:val="Compact"/>
        <w:numPr>
          <w:ilvl w:val="0"/>
          <w:numId w:val="1004"/>
        </w:numPr>
      </w:pPr>
      <w:r>
        <w:rPr>
          <w:b/>
          <w:bCs/>
        </w:rPr>
        <w:t xml:space="preserve">Quarter-end occupancy:</w:t>
      </w:r>
      <w:r>
        <w:t xml:space="preserve"> </w:t>
      </w:r>
      <w:r>
        <w:t xml:space="preserve">Stable or higher occupancy would provide pricing flexibility.</w:t>
      </w:r>
    </w:p>
    <w:p>
      <w:pPr>
        <w:pStyle w:val="Compact"/>
        <w:numPr>
          <w:ilvl w:val="0"/>
          <w:numId w:val="1004"/>
        </w:numPr>
      </w:pPr>
      <w:r>
        <w:rPr>
          <w:b/>
          <w:bCs/>
        </w:rPr>
        <w:t xml:space="preserve">Existing-customer rent increases:</w:t>
      </w:r>
      <w:r>
        <w:t xml:space="preserve"> </w:t>
      </w:r>
      <w:r>
        <w:t xml:space="preserve">Investors should watch for any deterioration in customer payment rates or price elasticity.</w:t>
      </w:r>
    </w:p>
    <w:p>
      <w:pPr>
        <w:pStyle w:val="Compact"/>
        <w:numPr>
          <w:ilvl w:val="0"/>
          <w:numId w:val="1004"/>
        </w:numPr>
      </w:pPr>
      <w:r>
        <w:rPr>
          <w:b/>
          <w:bCs/>
        </w:rPr>
        <w:t xml:space="preserve">Promotions and customer-acquisition spending:</w:t>
      </w:r>
      <w:r>
        <w:t xml:space="preserve"> </w:t>
      </w:r>
      <w:r>
        <w:t xml:space="preserve">Lower promotions alongside improving move-in rents would be particularly constructive.</w:t>
      </w:r>
    </w:p>
    <w:p>
      <w:pPr>
        <w:pStyle w:val="FirstParagraph"/>
      </w:pPr>
      <w:r>
        <w:t xml:space="preserve">A modest decline in reported same-store revenue may already be expected. A more important negative would be deterioration in occupancy or move-in pricing, suggesting that Q1’s favorable leading indicators were temporary.</w:t>
      </w:r>
    </w:p>
    <w:p>
      <w:r>
        <w:pict>
          <v:rect style="width:0;height:1.5pt" o:hralign="center" o:hrstd="t" o:hr="t"/>
        </w:pict>
      </w:r>
    </w:p>
    <w:bookmarkEnd w:id="14"/>
    <w:bookmarkEnd w:id="15"/>
    <w:bookmarkStart w:id="16" w:name="Xba33578f54c004f7c4c6f2e67abe3243e3987db"/>
    <w:p>
      <w:pPr>
        <w:pStyle w:val="Heading2"/>
      </w:pPr>
      <w:r>
        <w:t xml:space="preserve">2. Same-store expenses could make or break the result</w:t>
      </w:r>
    </w:p>
    <w:p>
      <w:pPr>
        <w:pStyle w:val="FirstParagraph"/>
      </w:pPr>
      <w:r>
        <w:t xml:space="preserve">PSA’s Q1 expense performance was unusually strong, helped by PS Next-driven savings in payroll, repairs and maintenance, utilities and marketing. Direct operating costs declined 1.6%.</w:t>
      </w:r>
    </w:p>
    <w:p>
      <w:pPr>
        <w:pStyle w:val="BodyText"/>
      </w:pPr>
      <w:r>
        <w:t xml:space="preserve">There is an important comparison issue: Q1 included approximately</w:t>
      </w:r>
      <w:r>
        <w:t xml:space="preserve"> </w:t>
      </w:r>
      <w:r>
        <w:rPr>
          <w:b/>
          <w:bCs/>
        </w:rPr>
        <w:t xml:space="preserve">$3 million of property-tax appeal benefits</w:t>
      </w:r>
      <w:r>
        <w:t xml:space="preserve"> </w:t>
      </w:r>
      <w:r>
        <w:t xml:space="preserve">that management had originally expected in Q2. As a result, investors should not extrapolate Q1’s negative expense growth into the second quarter.</w:t>
      </w:r>
    </w:p>
    <w:p>
      <w:pPr>
        <w:pStyle w:val="BodyText"/>
      </w:pPr>
      <w:r>
        <w:t xml:space="preserve">A satisfactory Q2 would show that:</w:t>
      </w:r>
    </w:p>
    <w:p>
      <w:pPr>
        <w:pStyle w:val="Compact"/>
        <w:numPr>
          <w:ilvl w:val="0"/>
          <w:numId w:val="1005"/>
        </w:numPr>
      </w:pPr>
      <w:r>
        <w:t xml:space="preserve">Expense growth remains controlled after adjusting for the property-tax timing shift.</w:t>
      </w:r>
    </w:p>
    <w:p>
      <w:pPr>
        <w:pStyle w:val="Compact"/>
        <w:numPr>
          <w:ilvl w:val="0"/>
          <w:numId w:val="1005"/>
        </w:numPr>
      </w:pPr>
      <w:r>
        <w:t xml:space="preserve">PS Next continues to produce structural savings.</w:t>
      </w:r>
    </w:p>
    <w:p>
      <w:pPr>
        <w:pStyle w:val="Compact"/>
        <w:numPr>
          <w:ilvl w:val="0"/>
          <w:numId w:val="1005"/>
        </w:numPr>
      </w:pPr>
      <w:r>
        <w:t xml:space="preserve">PSA can protect margins even if same-store revenue temporarily turns negative.</w:t>
      </w:r>
    </w:p>
    <w:p>
      <w:pPr>
        <w:pStyle w:val="FirstParagraph"/>
      </w:pPr>
      <w:r>
        <w:t xml:space="preserve">The old full-year forecast assumes same-store expense growth of 1.5%–2.8%. A reduction in that range would help offset weaker revenue, while a move toward or above the high end would put additional pressure on NOI.</w:t>
      </w:r>
    </w:p>
    <w:p>
      <w:r>
        <w:pict>
          <v:rect style="width:0;height:1.5pt" o:hralign="center" o:hrstd="t" o:hr="t"/>
        </w:pict>
      </w:r>
    </w:p>
    <w:bookmarkEnd w:id="16"/>
    <w:bookmarkStart w:id="18" w:name="X54961550fa4ba868d45c4ec2c2091e6bf125d5c"/>
    <w:p>
      <w:pPr>
        <w:pStyle w:val="Heading2"/>
      </w:pPr>
      <w:r>
        <w:t xml:space="preserve">3. Geographic dispersion remains a major swing factor</w:t>
      </w:r>
    </w:p>
    <w:p>
      <w:pPr>
        <w:pStyle w:val="FirstParagraph"/>
      </w:pPr>
      <w:r>
        <w:t xml:space="preserve">Management has described a two-speed market:</w:t>
      </w:r>
    </w:p>
    <w:p>
      <w:pPr>
        <w:pStyle w:val="Compact"/>
        <w:numPr>
          <w:ilvl w:val="0"/>
          <w:numId w:val="1006"/>
        </w:numPr>
      </w:pPr>
      <w:r>
        <w:rPr>
          <w:b/>
          <w:bCs/>
        </w:rPr>
        <w:t xml:space="preserve">Stronger:</w:t>
      </w:r>
      <w:r>
        <w:t xml:space="preserve"> </w:t>
      </w:r>
      <w:r>
        <w:t xml:space="preserve">coastal and Midwest markets, including New York, Boston, San Francisco and Minneapolis.</w:t>
      </w:r>
    </w:p>
    <w:p>
      <w:pPr>
        <w:pStyle w:val="Compact"/>
        <w:numPr>
          <w:ilvl w:val="0"/>
          <w:numId w:val="1006"/>
        </w:numPr>
      </w:pPr>
      <w:r>
        <w:rPr>
          <w:b/>
          <w:bCs/>
        </w:rPr>
        <w:t xml:space="preserve">Weaker but gradually improving:</w:t>
      </w:r>
      <w:r>
        <w:t xml:space="preserve"> </w:t>
      </w:r>
      <w:r>
        <w:t xml:space="preserve">Dallas, Atlanta, Phoenix and several Florida markets, where new supply remains a headwind.</w:t>
      </w:r>
    </w:p>
    <w:p>
      <w:pPr>
        <w:pStyle w:val="FirstParagraph"/>
      </w:pPr>
      <w:r>
        <w:t xml:space="preserve">The key question is whether Sun Belt absorption is occurring fast enough to permit better move-in pricing. Management previously said the weaker markets were still producing negative year-over-year revenue growth but were improving sequentially.</w:t>
      </w:r>
    </w:p>
    <w:bookmarkStart w:id="17" w:name="los-angeles-remains-an-unusual-overhang"/>
    <w:p>
      <w:pPr>
        <w:pStyle w:val="Heading3"/>
      </w:pPr>
      <w:r>
        <w:t xml:space="preserve">Los Angeles remains an unusual overhang</w:t>
      </w:r>
    </w:p>
    <w:p>
      <w:pPr>
        <w:pStyle w:val="FirstParagraph"/>
      </w:pPr>
      <w:r>
        <w:t xml:space="preserve">PSA’s existing guidance assumed the Los Angeles state-of-emergency rent restrictions would remain in place for all of 2026, reducing full-year same-store performance by approximately</w:t>
      </w:r>
      <w:r>
        <w:t xml:space="preserve"> </w:t>
      </w:r>
      <w:r>
        <w:rPr>
          <w:b/>
          <w:bCs/>
        </w:rPr>
        <w:t xml:space="preserve">80 basis points</w:t>
      </w:r>
      <w:r>
        <w:t xml:space="preserve">.</w:t>
      </w:r>
    </w:p>
    <w:p>
      <w:pPr>
        <w:pStyle w:val="BodyText"/>
      </w:pPr>
      <w:r>
        <w:t xml:space="preserve">Investors should listen for:</w:t>
      </w:r>
    </w:p>
    <w:p>
      <w:pPr>
        <w:pStyle w:val="Compact"/>
        <w:numPr>
          <w:ilvl w:val="0"/>
          <w:numId w:val="1007"/>
        </w:numPr>
      </w:pPr>
      <w:r>
        <w:t xml:space="preserve">The current regulatory status.</w:t>
      </w:r>
    </w:p>
    <w:p>
      <w:pPr>
        <w:pStyle w:val="Compact"/>
        <w:numPr>
          <w:ilvl w:val="0"/>
          <w:numId w:val="1007"/>
        </w:numPr>
      </w:pPr>
      <w:r>
        <w:t xml:space="preserve">Whether the full-year assumption has changed.</w:t>
      </w:r>
    </w:p>
    <w:p>
      <w:pPr>
        <w:pStyle w:val="Compact"/>
        <w:numPr>
          <w:ilvl w:val="0"/>
          <w:numId w:val="1007"/>
        </w:numPr>
      </w:pPr>
      <w:r>
        <w:t xml:space="preserve">The potential timing of existing-customer rent increases once restrictions end.</w:t>
      </w:r>
    </w:p>
    <w:p>
      <w:pPr>
        <w:pStyle w:val="Compact"/>
        <w:numPr>
          <w:ilvl w:val="0"/>
          <w:numId w:val="1007"/>
        </w:numPr>
      </w:pPr>
      <w:r>
        <w:t xml:space="preserve">Whether LA’s otherwise favorable occupancy and supply conditions are producing better new-customer economics.</w:t>
      </w:r>
    </w:p>
    <w:p>
      <w:pPr>
        <w:pStyle w:val="FirstParagraph"/>
      </w:pPr>
      <w:r>
        <w:t xml:space="preserve">Any earlier-than-assumed ability to resume rent increases would represent upside, although management has previously indicated that recapturing market rent could take 12–24 months.</w:t>
      </w:r>
    </w:p>
    <w:p>
      <w:r>
        <w:pict>
          <v:rect style="width:0;height:1.5pt" o:hralign="center" o:hrstd="t" o:hr="t"/>
        </w:pict>
      </w:r>
    </w:p>
    <w:bookmarkEnd w:id="17"/>
    <w:bookmarkEnd w:id="18"/>
    <w:bookmarkStart w:id="19" w:name="X57a9163bc7023f8b4e6a8142da6c5ec085990fa"/>
    <w:p>
      <w:pPr>
        <w:pStyle w:val="Heading2"/>
      </w:pPr>
      <w:r>
        <w:t xml:space="preserve">4. Non-same-store and ancillary operations should remain the growth engines</w:t>
      </w:r>
    </w:p>
    <w:p>
      <w:pPr>
        <w:pStyle w:val="FirstParagraph"/>
      </w:pPr>
      <w:r>
        <w:t xml:space="preserve">PSA’s consolidated results have increasingly depended on assets outside the same-store pool.</w:t>
      </w:r>
    </w:p>
    <w:p>
      <w:pPr>
        <w:pStyle w:val="BodyText"/>
      </w:pPr>
      <w:r>
        <w:t xml:space="preserve">In Q1:</w:t>
      </w:r>
    </w:p>
    <w:p>
      <w:pPr>
        <w:pStyle w:val="Compact"/>
        <w:numPr>
          <w:ilvl w:val="0"/>
          <w:numId w:val="1008"/>
        </w:numPr>
      </w:pPr>
      <w:r>
        <w:t xml:space="preserve">Non-same-store revenue increased approximately</w:t>
      </w:r>
      <w:r>
        <w:t xml:space="preserve"> </w:t>
      </w:r>
      <w:r>
        <w:rPr>
          <w:b/>
          <w:bCs/>
        </w:rPr>
        <w:t xml:space="preserve">25%</w:t>
      </w:r>
      <w:r>
        <w:t xml:space="preserve">.</w:t>
      </w:r>
    </w:p>
    <w:p>
      <w:pPr>
        <w:pStyle w:val="Compact"/>
        <w:numPr>
          <w:ilvl w:val="0"/>
          <w:numId w:val="1008"/>
        </w:numPr>
      </w:pPr>
      <w:r>
        <w:t xml:space="preserve">Non-same-store NOI increased approximately</w:t>
      </w:r>
      <w:r>
        <w:t xml:space="preserve"> </w:t>
      </w:r>
      <w:r>
        <w:rPr>
          <w:b/>
          <w:bCs/>
        </w:rPr>
        <w:t xml:space="preserve">27%</w:t>
      </w:r>
      <w:r>
        <w:t xml:space="preserve">.</w:t>
      </w:r>
    </w:p>
    <w:p>
      <w:pPr>
        <w:pStyle w:val="Compact"/>
        <w:numPr>
          <w:ilvl w:val="0"/>
          <w:numId w:val="1008"/>
        </w:numPr>
      </w:pPr>
      <w:r>
        <w:t xml:space="preserve">Ancillary income grew at a double-digit rate.</w:t>
      </w:r>
    </w:p>
    <w:p>
      <w:pPr>
        <w:pStyle w:val="FirstParagraph"/>
      </w:pPr>
      <w:r>
        <w:t xml:space="preserve">These assets include acquisitions and developments that are still leasing up. They are important because they can produce consolidated earnings growth while the mature same-store portfolio remains under pressure.</w:t>
      </w:r>
    </w:p>
    <w:p>
      <w:pPr>
        <w:pStyle w:val="BodyText"/>
      </w:pPr>
      <w:r>
        <w:t xml:space="preserve">For Q2, watch:</w:t>
      </w:r>
    </w:p>
    <w:p>
      <w:pPr>
        <w:pStyle w:val="Compact"/>
        <w:numPr>
          <w:ilvl w:val="0"/>
          <w:numId w:val="1009"/>
        </w:numPr>
      </w:pPr>
      <w:r>
        <w:t xml:space="preserve">Non-same-store NOI relative to the</w:t>
      </w:r>
      <w:r>
        <w:t xml:space="preserve"> </w:t>
      </w:r>
      <m:oMath>
        <m:r>
          <m:t>335</m:t>
        </m:r>
        <m:r>
          <m:rPr>
            <m:sty m:val="p"/>
          </m:rPr>
          <m:t>–</m:t>
        </m:r>
      </m:oMath>
      <w:r>
        <w:t xml:space="preserve">355 million full-year forecast.</w:t>
      </w:r>
    </w:p>
    <w:p>
      <w:pPr>
        <w:pStyle w:val="Compact"/>
        <w:numPr>
          <w:ilvl w:val="0"/>
          <w:numId w:val="1009"/>
        </w:numPr>
      </w:pPr>
      <w:r>
        <w:t xml:space="preserve">Occupancy and yield progression at recent developments.</w:t>
      </w:r>
    </w:p>
    <w:p>
      <w:pPr>
        <w:pStyle w:val="Compact"/>
        <w:numPr>
          <w:ilvl w:val="0"/>
          <w:numId w:val="1009"/>
        </w:numPr>
      </w:pPr>
      <w:r>
        <w:t xml:space="preserve">Tenant reinsurance and third-party management growth.</w:t>
      </w:r>
    </w:p>
    <w:p>
      <w:pPr>
        <w:pStyle w:val="Compact"/>
        <w:numPr>
          <w:ilvl w:val="0"/>
          <w:numId w:val="1009"/>
        </w:numPr>
      </w:pPr>
      <w:r>
        <w:t xml:space="preserve">Whether management adds to the approximately $618 million development and expansion pipeline.</w:t>
      </w:r>
    </w:p>
    <w:p>
      <w:pPr>
        <w:pStyle w:val="Compact"/>
        <w:numPr>
          <w:ilvl w:val="0"/>
          <w:numId w:val="1009"/>
        </w:numPr>
      </w:pPr>
      <w:r>
        <w:t xml:space="preserve">Acquisition activity beyond NSA and Canada.</w:t>
      </w:r>
    </w:p>
    <w:p>
      <w:pPr>
        <w:pStyle w:val="FirstParagraph"/>
      </w:pPr>
      <w:r>
        <w:t xml:space="preserve">If Core FFO beats while same-store performance is weak, investors should determine whether the upside came from repeatable non-same-store and ancillary growth or from timing and one-time expense items.</w:t>
      </w:r>
    </w:p>
    <w:p>
      <w:r>
        <w:pict>
          <v:rect style="width:0;height:1.5pt" o:hralign="center" o:hrstd="t" o:hr="t"/>
        </w:pict>
      </w:r>
    </w:p>
    <w:bookmarkEnd w:id="19"/>
    <w:bookmarkStart w:id="22" w:name="Xccb57192f97e546fd87ea38d2094297d767bb98"/>
    <w:p>
      <w:pPr>
        <w:pStyle w:val="Heading2"/>
      </w:pPr>
      <w:r>
        <w:t xml:space="preserve">5. NSA is now the central investment issue</w:t>
      </w:r>
    </w:p>
    <w:p>
      <w:pPr>
        <w:pStyle w:val="FirstParagraph"/>
      </w:pPr>
      <w:r>
        <w:t xml:space="preserve">PSA completed its acquisition of National Storage Affiliates on</w:t>
      </w:r>
      <w:r>
        <w:t xml:space="preserve"> </w:t>
      </w:r>
      <w:r>
        <w:rPr>
          <w:b/>
          <w:bCs/>
        </w:rPr>
        <w:t xml:space="preserve">July 22</w:t>
      </w:r>
      <w:r>
        <w:t xml:space="preserve">, adding more than 1,000 properties and 550,000 units. The combined platform now spans more than 4,500 properties and approximately 327 million rentable square feet in the United States. The transaction closed after the end of Q2, so its operating contribution will begin in Q3. (</w:t>
      </w:r>
      <w:hyperlink r:id="rId20">
        <w:r>
          <w:rPr>
            <w:rStyle w:val="Hyperlink"/>
          </w:rPr>
          <w:t xml:space="preserve">investors.publicstorage.com</w:t>
        </w:r>
      </w:hyperlink>
      <w:r>
        <w:t xml:space="preserve">)</w:t>
      </w:r>
    </w:p>
    <w:p>
      <w:pPr>
        <w:pStyle w:val="BodyText"/>
      </w:pPr>
      <w:r>
        <w:t xml:space="preserve">Management continues to target:</w:t>
      </w:r>
    </w:p>
    <w:p>
      <w:pPr>
        <w:pStyle w:val="Compact"/>
        <w:numPr>
          <w:ilvl w:val="0"/>
          <w:numId w:val="1010"/>
        </w:numPr>
      </w:pPr>
      <m:oMath>
        <m:r>
          <m:t>110</m:t>
        </m:r>
        <m:r>
          <m:rPr>
            <m:sty m:val="p"/>
          </m:rPr>
          <m:t>–</m:t>
        </m:r>
      </m:oMath>
      <w:r>
        <w:rPr>
          <w:b/>
          <w:bCs/>
        </w:rPr>
        <w:t xml:space="preserve">130 million of run-rate synergies</w:t>
      </w:r>
    </w:p>
    <w:p>
      <w:pPr>
        <w:pStyle w:val="Compact"/>
        <w:numPr>
          <w:ilvl w:val="0"/>
          <w:numId w:val="1010"/>
        </w:numPr>
      </w:pPr>
      <m:oMath>
        <m:r>
          <m:t>0.35</m:t>
        </m:r>
        <m:r>
          <m:rPr>
            <m:sty m:val="p"/>
          </m:rPr>
          <m:t>–</m:t>
        </m:r>
      </m:oMath>
      <w:r>
        <w:rPr>
          <w:b/>
          <w:bCs/>
        </w:rPr>
        <w:t xml:space="preserve">0.50 of Core FFO-per-share accretion at stabilization</w:t>
      </w:r>
    </w:p>
    <w:p>
      <w:pPr>
        <w:pStyle w:val="Compact"/>
        <w:numPr>
          <w:ilvl w:val="0"/>
          <w:numId w:val="1010"/>
        </w:numPr>
      </w:pPr>
      <w:r>
        <w:t xml:space="preserve">Synergy realization over approximately</w:t>
      </w:r>
      <w:r>
        <w:t xml:space="preserve"> </w:t>
      </w:r>
      <w:r>
        <w:rPr>
          <w:b/>
          <w:bCs/>
        </w:rPr>
        <w:t xml:space="preserve">three to four years</w:t>
      </w:r>
    </w:p>
    <w:p>
      <w:pPr>
        <w:pStyle w:val="Compact"/>
        <w:numPr>
          <w:ilvl w:val="0"/>
          <w:numId w:val="1010"/>
        </w:numPr>
      </w:pPr>
      <w:r>
        <w:t xml:space="preserve">FFO-per-share accretion within the first year following closing</w:t>
      </w:r>
    </w:p>
    <w:p>
      <w:pPr>
        <w:pStyle w:val="FirstParagraph"/>
      </w:pPr>
      <w:r>
        <w:t xml:space="preserve">A joint venture holds 313 former NSA properties. PSA owns approximately 20%, exclusively manages the portfolio and earns management, asset-management and tenant-reinsurance income. The venture obtained approximately $2 billion of secured financing, supplemented by a $237 million mezzanine loan from PSA. (</w:t>
      </w:r>
      <w:hyperlink r:id="rId20">
        <w:r>
          <w:rPr>
            <w:rStyle w:val="Hyperlink"/>
          </w:rPr>
          <w:t xml:space="preserve">investors.publicstorage.com</w:t>
        </w:r>
      </w:hyperlink>
      <w:r>
        <w:t xml:space="preserve">)</w:t>
      </w:r>
    </w:p>
    <w:bookmarkStart w:id="21" w:name="what-investors-need-from-management"/>
    <w:p>
      <w:pPr>
        <w:pStyle w:val="Heading3"/>
      </w:pPr>
      <w:r>
        <w:t xml:space="preserve">What investors need from management</w:t>
      </w:r>
    </w:p>
    <w:p>
      <w:pPr>
        <w:pStyle w:val="FirstParagraph"/>
      </w:pPr>
      <w:r>
        <w:t xml:space="preserve">The call should provide a post-closing bridge covering:</w:t>
      </w:r>
    </w:p>
    <w:p>
      <w:pPr>
        <w:pStyle w:val="Compact"/>
        <w:numPr>
          <w:ilvl w:val="0"/>
          <w:numId w:val="1011"/>
        </w:numPr>
      </w:pPr>
      <w:r>
        <w:rPr>
          <w:b/>
          <w:bCs/>
        </w:rPr>
        <w:t xml:space="preserve">Updated 2026 Core FFO guidance</w:t>
      </w:r>
      <w:r>
        <w:t xml:space="preserve">, including NSA.</w:t>
      </w:r>
    </w:p>
    <w:p>
      <w:pPr>
        <w:pStyle w:val="Compact"/>
        <w:numPr>
          <w:ilvl w:val="0"/>
          <w:numId w:val="1011"/>
        </w:numPr>
      </w:pPr>
      <w:r>
        <w:t xml:space="preserve">Incremental shares issued in the transaction.</w:t>
      </w:r>
    </w:p>
    <w:p>
      <w:pPr>
        <w:pStyle w:val="Compact"/>
        <w:numPr>
          <w:ilvl w:val="0"/>
          <w:numId w:val="1011"/>
        </w:numPr>
      </w:pPr>
      <w:r>
        <w:t xml:space="preserve">Expected Q3 and Q4 NSA NOI.</w:t>
      </w:r>
    </w:p>
    <w:p>
      <w:pPr>
        <w:pStyle w:val="Compact"/>
        <w:numPr>
          <w:ilvl w:val="0"/>
          <w:numId w:val="1011"/>
        </w:numPr>
      </w:pPr>
      <w:r>
        <w:t xml:space="preserve">Transaction and integration costs excluded from Core FFO.</w:t>
      </w:r>
    </w:p>
    <w:p>
      <w:pPr>
        <w:pStyle w:val="Compact"/>
        <w:numPr>
          <w:ilvl w:val="0"/>
          <w:numId w:val="1011"/>
        </w:numPr>
      </w:pPr>
      <w:r>
        <w:t xml:space="preserve">The timing of property rebranding and migration to PS Next.</w:t>
      </w:r>
    </w:p>
    <w:p>
      <w:pPr>
        <w:pStyle w:val="Compact"/>
        <w:numPr>
          <w:ilvl w:val="0"/>
          <w:numId w:val="1011"/>
        </w:numPr>
      </w:pPr>
      <w:r>
        <w:t xml:space="preserve">The split of synergies among revenue, operating expenses and corporate costs.</w:t>
      </w:r>
    </w:p>
    <w:p>
      <w:pPr>
        <w:pStyle w:val="Compact"/>
        <w:numPr>
          <w:ilvl w:val="0"/>
          <w:numId w:val="1011"/>
        </w:numPr>
      </w:pPr>
      <w:r>
        <w:t xml:space="preserve">Expected accretion in 2027, not just at 2028–2029 stabilization.</w:t>
      </w:r>
    </w:p>
    <w:p>
      <w:pPr>
        <w:pStyle w:val="Compact"/>
        <w:numPr>
          <w:ilvl w:val="0"/>
          <w:numId w:val="1011"/>
        </w:numPr>
      </w:pPr>
      <w:r>
        <w:t xml:space="preserve">Post-closing debt, preferred equity and fixed-charge coverage.</w:t>
      </w:r>
    </w:p>
    <w:p>
      <w:pPr>
        <w:pStyle w:val="Compact"/>
        <w:numPr>
          <w:ilvl w:val="0"/>
          <w:numId w:val="1011"/>
        </w:numPr>
      </w:pPr>
      <w:r>
        <w:t xml:space="preserve">The economics and accounting treatment of the new joint venture.</w:t>
      </w:r>
    </w:p>
    <w:p>
      <w:pPr>
        <w:pStyle w:val="Compact"/>
        <w:numPr>
          <w:ilvl w:val="0"/>
          <w:numId w:val="1011"/>
        </w:numPr>
      </w:pPr>
      <w:r>
        <w:t xml:space="preserve">Whether NSA’s recent operating trends have changed the original underwriting.</w:t>
      </w:r>
    </w:p>
    <w:p>
      <w:pPr>
        <w:pStyle w:val="FirstParagraph"/>
      </w:pPr>
      <w:r>
        <w:t xml:space="preserve">A simple reiteration of the long-term</w:t>
      </w:r>
      <w:r>
        <w:t xml:space="preserve"> </w:t>
      </w:r>
      <m:oMath>
        <m:r>
          <m:t>0.35</m:t>
        </m:r>
        <m:r>
          <m:rPr>
            <m:sty m:val="p"/>
          </m:rPr>
          <m:t>–</m:t>
        </m:r>
      </m:oMath>
      <w:r>
        <w:t xml:space="preserve">0.50 target may not be enough. With the transaction now closed, investors will likely demand a more granular near-term roadmap.</w:t>
      </w:r>
    </w:p>
    <w:p>
      <w:r>
        <w:pict>
          <v:rect style="width:0;height:1.5pt" o:hralign="center" o:hrstd="t" o:hr="t"/>
        </w:pict>
      </w:r>
    </w:p>
    <w:bookmarkEnd w:id="21"/>
    <w:bookmarkEnd w:id="22"/>
    <w:bookmarkStart w:id="24" w:name="X35ebf0bccf4becd3451653fa5d32d260e051562"/>
    <w:p>
      <w:pPr>
        <w:pStyle w:val="Heading2"/>
      </w:pPr>
      <w:r>
        <w:t xml:space="preserve">6. Public Storage Canada adds another layer to the outlook</w:t>
      </w:r>
    </w:p>
    <w:p>
      <w:pPr>
        <w:pStyle w:val="FirstParagraph"/>
      </w:pPr>
      <w:r>
        <w:t xml:space="preserve">In June, PSA agreed to acquire Public Storage Canada for approximately</w:t>
      </w:r>
      <w:r>
        <w:t xml:space="preserve"> </w:t>
      </w:r>
      <w:r>
        <w:rPr>
          <w:b/>
          <w:bCs/>
        </w:rPr>
        <w:t xml:space="preserve">$1.2 billion</w:t>
      </w:r>
      <w:r>
        <w:t xml:space="preserve">, primarily using operating-partnership units. The portfolio includes:</w:t>
      </w:r>
    </w:p>
    <w:p>
      <w:pPr>
        <w:pStyle w:val="Compact"/>
        <w:numPr>
          <w:ilvl w:val="0"/>
          <w:numId w:val="1012"/>
        </w:numPr>
      </w:pPr>
      <w:r>
        <w:t xml:space="preserve">68 properties</w:t>
      </w:r>
    </w:p>
    <w:p>
      <w:pPr>
        <w:pStyle w:val="Compact"/>
        <w:numPr>
          <w:ilvl w:val="0"/>
          <w:numId w:val="1012"/>
        </w:numPr>
      </w:pPr>
      <w:r>
        <w:t xml:space="preserve">5.3 million square feet</w:t>
      </w:r>
    </w:p>
    <w:p>
      <w:pPr>
        <w:pStyle w:val="Compact"/>
        <w:numPr>
          <w:ilvl w:val="0"/>
          <w:numId w:val="1012"/>
        </w:numPr>
      </w:pPr>
      <w:r>
        <w:t xml:space="preserve">Approximately 83% occupancy</w:t>
      </w:r>
    </w:p>
    <w:p>
      <w:pPr>
        <w:pStyle w:val="Compact"/>
        <w:numPr>
          <w:ilvl w:val="0"/>
          <w:numId w:val="1012"/>
        </w:numPr>
      </w:pPr>
      <w:r>
        <w:t xml:space="preserve">Approximately 65% NOI margins</w:t>
      </w:r>
    </w:p>
    <w:p>
      <w:pPr>
        <w:pStyle w:val="Compact"/>
        <w:numPr>
          <w:ilvl w:val="0"/>
          <w:numId w:val="1012"/>
        </w:numPr>
      </w:pPr>
      <w:r>
        <w:t xml:space="preserve">Major positions in Toronto, Vancouver, Montreal, Calgary and Ottawa</w:t>
      </w:r>
    </w:p>
    <w:p>
      <w:pPr>
        <w:pStyle w:val="FirstParagraph"/>
      </w:pPr>
      <w:r>
        <w:t xml:space="preserve">PSA expects an initial yield in the high-5% range and high-single-digit near-term compounded NOI growth as the portfolio adopts PS Next. The transaction is scheduled to close in the second half of 2026. (</w:t>
      </w:r>
      <w:hyperlink r:id="rId23">
        <w:r>
          <w:rPr>
            <w:rStyle w:val="Hyperlink"/>
          </w:rPr>
          <w:t xml:space="preserve">investors.publicstorage.com</w:t>
        </w:r>
      </w:hyperlink>
      <w:r>
        <w:t xml:space="preserve">)</w:t>
      </w:r>
    </w:p>
    <w:p>
      <w:pPr>
        <w:pStyle w:val="BodyText"/>
      </w:pPr>
      <w:r>
        <w:t xml:space="preserve">The strategic argument is credible: the portfolio is under-occupied relative to PSA’s U.S. assets, margins have considerable room to expand, and Canadian storage supply per capita is substantially lower than in the United States. But investors need clarity on:</w:t>
      </w:r>
    </w:p>
    <w:p>
      <w:pPr>
        <w:pStyle w:val="Compact"/>
        <w:numPr>
          <w:ilvl w:val="0"/>
          <w:numId w:val="1013"/>
        </w:numPr>
      </w:pPr>
      <w:r>
        <w:t xml:space="preserve">Expected closing timing.</w:t>
      </w:r>
    </w:p>
    <w:p>
      <w:pPr>
        <w:pStyle w:val="Compact"/>
        <w:numPr>
          <w:ilvl w:val="0"/>
          <w:numId w:val="1013"/>
        </w:numPr>
      </w:pPr>
      <w:r>
        <w:t xml:space="preserve">Regulatory approvals.</w:t>
      </w:r>
    </w:p>
    <w:p>
      <w:pPr>
        <w:pStyle w:val="Compact"/>
        <w:numPr>
          <w:ilvl w:val="0"/>
          <w:numId w:val="1013"/>
        </w:numPr>
      </w:pPr>
      <w:r>
        <w:t xml:space="preserve">Whether the transaction is included in revised guidance.</w:t>
      </w:r>
    </w:p>
    <w:p>
      <w:pPr>
        <w:pStyle w:val="Compact"/>
        <w:numPr>
          <w:ilvl w:val="0"/>
          <w:numId w:val="1013"/>
        </w:numPr>
      </w:pPr>
      <w:r>
        <w:t xml:space="preserve">Currency and Canadian debt-financing plans.</w:t>
      </w:r>
    </w:p>
    <w:p>
      <w:pPr>
        <w:pStyle w:val="Compact"/>
        <w:numPr>
          <w:ilvl w:val="0"/>
          <w:numId w:val="1013"/>
        </w:numPr>
      </w:pPr>
      <w:r>
        <w:t xml:space="preserve">The dilution from the 2.76 million partnership units issued at closing.</w:t>
      </w:r>
    </w:p>
    <w:p>
      <w:pPr>
        <w:pStyle w:val="Compact"/>
        <w:numPr>
          <w:ilvl w:val="0"/>
          <w:numId w:val="1013"/>
        </w:numPr>
      </w:pPr>
      <w:r>
        <w:t xml:space="preserve">The conditions attached to the potential $288 million earn-out.</w:t>
      </w:r>
    </w:p>
    <w:p>
      <w:pPr>
        <w:pStyle w:val="Compact"/>
        <w:numPr>
          <w:ilvl w:val="0"/>
          <w:numId w:val="1013"/>
        </w:numPr>
      </w:pPr>
      <w:r>
        <w:t xml:space="preserve">How quickly the 83% occupied portfolio can approach stabilized occupancy.</w:t>
      </w:r>
    </w:p>
    <w:p>
      <w:r>
        <w:pict>
          <v:rect style="width:0;height:1.5pt" o:hralign="center" o:hrstd="t" o:hr="t"/>
        </w:pict>
      </w:r>
    </w:p>
    <w:bookmarkEnd w:id="24"/>
    <w:bookmarkStart w:id="26" w:name="Xdf60bef8234e5afc92d64d1869f886c5e973510"/>
    <w:p>
      <w:pPr>
        <w:pStyle w:val="Heading2"/>
      </w:pPr>
      <w:r>
        <w:t xml:space="preserve">7. Balance-sheet capacity is strong, but the financing picture is becoming more complex</w:t>
      </w:r>
    </w:p>
    <w:p>
      <w:pPr>
        <w:pStyle w:val="FirstParagraph"/>
      </w:pPr>
      <w:r>
        <w:t xml:space="preserve">PSA entered the year with unusually low leverage for a large REIT. At March 31:</w:t>
      </w:r>
    </w:p>
    <w:p>
      <w:pPr>
        <w:pStyle w:val="Compact"/>
        <w:numPr>
          <w:ilvl w:val="0"/>
          <w:numId w:val="1014"/>
        </w:numPr>
      </w:pPr>
      <w:r>
        <w:t xml:space="preserve">Debt to EBITDA was approximately</w:t>
      </w:r>
      <w:r>
        <w:t xml:space="preserve"> </w:t>
      </w:r>
      <w:r>
        <w:rPr>
          <w:b/>
          <w:bCs/>
        </w:rPr>
        <w:t xml:space="preserve">2.9 times</w:t>
      </w:r>
      <w:r>
        <w:t xml:space="preserve">.</w:t>
      </w:r>
    </w:p>
    <w:p>
      <w:pPr>
        <w:pStyle w:val="Compact"/>
        <w:numPr>
          <w:ilvl w:val="0"/>
          <w:numId w:val="1014"/>
        </w:numPr>
      </w:pPr>
      <w:r>
        <w:t xml:space="preserve">Debt plus preferred equity to EBITDA was approximately</w:t>
      </w:r>
      <w:r>
        <w:t xml:space="preserve"> </w:t>
      </w:r>
      <w:r>
        <w:rPr>
          <w:b/>
          <w:bCs/>
        </w:rPr>
        <w:t xml:space="preserve">4.1 times</w:t>
      </w:r>
      <w:r>
        <w:t xml:space="preserve">.</w:t>
      </w:r>
    </w:p>
    <w:p>
      <w:pPr>
        <w:pStyle w:val="Compact"/>
        <w:numPr>
          <w:ilvl w:val="0"/>
          <w:numId w:val="1014"/>
        </w:numPr>
      </w:pPr>
      <w:r>
        <w:t xml:space="preserve">The weighted-average interest rate was 3.3%.</w:t>
      </w:r>
    </w:p>
    <w:p>
      <w:pPr>
        <w:pStyle w:val="FirstParagraph"/>
      </w:pPr>
      <w:r>
        <w:t xml:space="preserve">Since then, PSA has materially expanded its funding capacity:</w:t>
      </w:r>
    </w:p>
    <w:p>
      <w:pPr>
        <w:pStyle w:val="Compact"/>
        <w:numPr>
          <w:ilvl w:val="0"/>
          <w:numId w:val="1015"/>
        </w:numPr>
      </w:pPr>
      <w:r>
        <w:t xml:space="preserve">A new</w:t>
      </w:r>
      <w:r>
        <w:t xml:space="preserve"> </w:t>
      </w:r>
      <w:r>
        <w:rPr>
          <w:b/>
          <w:bCs/>
        </w:rPr>
        <w:t xml:space="preserve">$3 billion revolver</w:t>
      </w:r>
    </w:p>
    <w:p>
      <w:pPr>
        <w:pStyle w:val="Compact"/>
        <w:numPr>
          <w:ilvl w:val="0"/>
          <w:numId w:val="1015"/>
        </w:numPr>
      </w:pPr>
      <w:r>
        <w:t xml:space="preserve">A</w:t>
      </w:r>
      <w:r>
        <w:t xml:space="preserve"> </w:t>
      </w:r>
      <w:r>
        <w:rPr>
          <w:b/>
          <w:bCs/>
        </w:rPr>
        <w:t xml:space="preserve">$500 million delayed-draw term loan</w:t>
      </w:r>
    </w:p>
    <w:p>
      <w:pPr>
        <w:pStyle w:val="Compact"/>
        <w:numPr>
          <w:ilvl w:val="0"/>
          <w:numId w:val="1015"/>
        </w:numPr>
      </w:pPr>
      <w:r>
        <w:t xml:space="preserve">A</w:t>
      </w:r>
      <w:r>
        <w:t xml:space="preserve"> </w:t>
      </w:r>
      <w:r>
        <w:rPr>
          <w:b/>
          <w:bCs/>
        </w:rPr>
        <w:t xml:space="preserve">$1 billion commercial-paper program</w:t>
      </w:r>
    </w:p>
    <w:p>
      <w:pPr>
        <w:pStyle w:val="Compact"/>
        <w:numPr>
          <w:ilvl w:val="0"/>
          <w:numId w:val="1015"/>
        </w:numPr>
      </w:pPr>
      <w:r>
        <w:t xml:space="preserve">An accordion feature permitting up to $2 billion of additional commitments</w:t>
      </w:r>
    </w:p>
    <w:p>
      <w:pPr>
        <w:pStyle w:val="Compact"/>
        <w:numPr>
          <w:ilvl w:val="0"/>
          <w:numId w:val="1015"/>
        </w:numPr>
      </w:pPr>
      <w:r>
        <w:t xml:space="preserve">$900 million of senior notes issued to help fund NSA, at a blended effective rate of approximately 4.855% (</w:t>
      </w:r>
      <w:hyperlink r:id="rId25">
        <w:r>
          <w:rPr>
            <w:rStyle w:val="Hyperlink"/>
          </w:rPr>
          <w:t xml:space="preserve">investors.publicstorage.com</w:t>
        </w:r>
      </w:hyperlink>
      <w:r>
        <w:t xml:space="preserve">)</w:t>
      </w:r>
    </w:p>
    <w:p>
      <w:pPr>
        <w:pStyle w:val="FirstParagraph"/>
      </w:pPr>
      <w:r>
        <w:t xml:space="preserve">The balance sheet should remain investment-grade and flexible, but the relevant metric is now</w:t>
      </w:r>
      <w:r>
        <w:t xml:space="preserve"> </w:t>
      </w:r>
      <w:r>
        <w:rPr>
          <w:b/>
          <w:bCs/>
        </w:rPr>
        <w:t xml:space="preserve">post-transaction leverage</w:t>
      </w:r>
      <w:r>
        <w:t xml:space="preserve">, not the March 31 snapshot. Investors should also watch how much of the new revolver and term loan is used for NSA, Canada and future development.</w:t>
      </w:r>
    </w:p>
    <w:p>
      <w:r>
        <w:pict>
          <v:rect style="width:0;height:1.5pt" o:hralign="center" o:hrstd="t" o:hr="t"/>
        </w:pict>
      </w:r>
    </w:p>
    <w:bookmarkEnd w:id="26"/>
    <w:bookmarkStart w:id="30" w:name="scenario-framework"/>
    <w:p>
      <w:pPr>
        <w:pStyle w:val="Heading2"/>
      </w:pPr>
      <w:r>
        <w:t xml:space="preserve">Scenario framework</w:t>
      </w:r>
    </w:p>
    <w:bookmarkStart w:id="27" w:name="bull-case"/>
    <w:p>
      <w:pPr>
        <w:pStyle w:val="Heading3"/>
      </w:pPr>
      <w:r>
        <w:t xml:space="preserve">Bull case</w:t>
      </w:r>
    </w:p>
    <w:p>
      <w:pPr>
        <w:pStyle w:val="Compact"/>
        <w:numPr>
          <w:ilvl w:val="0"/>
          <w:numId w:val="1016"/>
        </w:numPr>
      </w:pPr>
      <w:r>
        <w:t xml:space="preserve">Core FFO exceeds $4.25.</w:t>
      </w:r>
    </w:p>
    <w:p>
      <w:pPr>
        <w:pStyle w:val="Compact"/>
        <w:numPr>
          <w:ilvl w:val="0"/>
          <w:numId w:val="1016"/>
        </w:numPr>
      </w:pPr>
      <w:r>
        <w:t xml:space="preserve">Move-in rents turn positive.</w:t>
      </w:r>
    </w:p>
    <w:p>
      <w:pPr>
        <w:pStyle w:val="Compact"/>
        <w:numPr>
          <w:ilvl w:val="0"/>
          <w:numId w:val="1016"/>
        </w:numPr>
      </w:pPr>
      <w:r>
        <w:t xml:space="preserve">Occupancy remains above the prior-year level.</w:t>
      </w:r>
    </w:p>
    <w:p>
      <w:pPr>
        <w:pStyle w:val="Compact"/>
        <w:numPr>
          <w:ilvl w:val="0"/>
          <w:numId w:val="1016"/>
        </w:numPr>
      </w:pPr>
      <w:r>
        <w:t xml:space="preserve">Same-store revenue performs better than the anticipated midyear slowdown.</w:t>
      </w:r>
    </w:p>
    <w:p>
      <w:pPr>
        <w:pStyle w:val="Compact"/>
        <w:numPr>
          <w:ilvl w:val="0"/>
          <w:numId w:val="1016"/>
        </w:numPr>
      </w:pPr>
      <w:r>
        <w:t xml:space="preserve">Expense guidance is reduced.</w:t>
      </w:r>
    </w:p>
    <w:p>
      <w:pPr>
        <w:pStyle w:val="Compact"/>
        <w:numPr>
          <w:ilvl w:val="0"/>
          <w:numId w:val="1016"/>
        </w:numPr>
      </w:pPr>
      <w:r>
        <w:t xml:space="preserve">Full-year Core FFO guidance is raised or reset favorably after NSA.</w:t>
      </w:r>
    </w:p>
    <w:p>
      <w:pPr>
        <w:pStyle w:val="Compact"/>
        <w:numPr>
          <w:ilvl w:val="0"/>
          <w:numId w:val="1016"/>
        </w:numPr>
      </w:pPr>
      <w:r>
        <w:t xml:space="preserve">Management provides a credible path to NSA accretion beginning in early 2027.</w:t>
      </w:r>
    </w:p>
    <w:p>
      <w:pPr>
        <w:pStyle w:val="Compact"/>
        <w:numPr>
          <w:ilvl w:val="0"/>
          <w:numId w:val="1016"/>
        </w:numPr>
      </w:pPr>
      <w:r>
        <w:t xml:space="preserve">Canada remains on schedule with no financing surprises.</w:t>
      </w:r>
    </w:p>
    <w:bookmarkEnd w:id="27"/>
    <w:bookmarkStart w:id="28" w:name="base-case"/>
    <w:p>
      <w:pPr>
        <w:pStyle w:val="Heading3"/>
      </w:pPr>
      <w:r>
        <w:t xml:space="preserve">Base case</w:t>
      </w:r>
    </w:p>
    <w:p>
      <w:pPr>
        <w:pStyle w:val="Compact"/>
        <w:numPr>
          <w:ilvl w:val="0"/>
          <w:numId w:val="1017"/>
        </w:numPr>
      </w:pPr>
      <w:r>
        <w:t xml:space="preserve">Core FFO lands near</w:t>
      </w:r>
      <w:r>
        <w:t xml:space="preserve"> </w:t>
      </w:r>
      <m:oMath>
        <m:r>
          <m:t>4.20</m:t>
        </m:r>
        <m:r>
          <m:rPr>
            <m:sty m:val="p"/>
          </m:rPr>
          <m:t>–</m:t>
        </m:r>
      </m:oMath>
      <w:r>
        <w:t xml:space="preserve">4.27.</w:t>
      </w:r>
    </w:p>
    <w:p>
      <w:pPr>
        <w:pStyle w:val="Compact"/>
        <w:numPr>
          <w:ilvl w:val="0"/>
          <w:numId w:val="1017"/>
        </w:numPr>
      </w:pPr>
      <w:r>
        <w:t xml:space="preserve">Same-store revenue turns modestly negative.</w:t>
      </w:r>
    </w:p>
    <w:p>
      <w:pPr>
        <w:pStyle w:val="Compact"/>
        <w:numPr>
          <w:ilvl w:val="0"/>
          <w:numId w:val="1017"/>
        </w:numPr>
      </w:pPr>
      <w:r>
        <w:t xml:space="preserve">Occupancy and churn remain healthy.</w:t>
      </w:r>
    </w:p>
    <w:p>
      <w:pPr>
        <w:pStyle w:val="Compact"/>
        <w:numPr>
          <w:ilvl w:val="0"/>
          <w:numId w:val="1017"/>
        </w:numPr>
      </w:pPr>
      <w:r>
        <w:t xml:space="preserve">Expenses normalize after Q1’s property-tax benefit.</w:t>
      </w:r>
    </w:p>
    <w:p>
      <w:pPr>
        <w:pStyle w:val="Compact"/>
        <w:numPr>
          <w:ilvl w:val="0"/>
          <w:numId w:val="1017"/>
        </w:numPr>
      </w:pPr>
      <w:r>
        <w:t xml:space="preserve">Existing standalone guidance is broadly maintained, followed by an NSA-related recast.</w:t>
      </w:r>
    </w:p>
    <w:p>
      <w:pPr>
        <w:pStyle w:val="Compact"/>
        <w:numPr>
          <w:ilvl w:val="0"/>
          <w:numId w:val="1017"/>
        </w:numPr>
      </w:pPr>
      <w:r>
        <w:t xml:space="preserve">Management reiterates long-term synergies but offers only limited new 2027 detail.</w:t>
      </w:r>
    </w:p>
    <w:bookmarkEnd w:id="28"/>
    <w:bookmarkStart w:id="29" w:name="bear-case"/>
    <w:p>
      <w:pPr>
        <w:pStyle w:val="Heading3"/>
      </w:pPr>
      <w:r>
        <w:t xml:space="preserve">Bear case</w:t>
      </w:r>
    </w:p>
    <w:p>
      <w:pPr>
        <w:pStyle w:val="Compact"/>
        <w:numPr>
          <w:ilvl w:val="0"/>
          <w:numId w:val="1018"/>
        </w:numPr>
      </w:pPr>
      <w:r>
        <w:t xml:space="preserve">Move-in pricing weakens again during peak leasing season.</w:t>
      </w:r>
    </w:p>
    <w:p>
      <w:pPr>
        <w:pStyle w:val="Compact"/>
        <w:numPr>
          <w:ilvl w:val="0"/>
          <w:numId w:val="1018"/>
        </w:numPr>
      </w:pPr>
      <w:r>
        <w:t xml:space="preserve">Occupancy gives back Q1’s improvement.</w:t>
      </w:r>
    </w:p>
    <w:p>
      <w:pPr>
        <w:pStyle w:val="Compact"/>
        <w:numPr>
          <w:ilvl w:val="0"/>
          <w:numId w:val="1018"/>
        </w:numPr>
      </w:pPr>
      <w:r>
        <w:t xml:space="preserve">Same-store revenue falls toward the low end of guidance.</w:t>
      </w:r>
    </w:p>
    <w:p>
      <w:pPr>
        <w:pStyle w:val="Compact"/>
        <w:numPr>
          <w:ilvl w:val="0"/>
          <w:numId w:val="1018"/>
        </w:numPr>
      </w:pPr>
      <w:r>
        <w:t xml:space="preserve">Expense growth accelerates without offsetting revenue.</w:t>
      </w:r>
    </w:p>
    <w:p>
      <w:pPr>
        <w:pStyle w:val="Compact"/>
        <w:numPr>
          <w:ilvl w:val="0"/>
          <w:numId w:val="1018"/>
        </w:numPr>
      </w:pPr>
      <w:r>
        <w:t xml:space="preserve">NSA integration costs or financing needs exceed expectations.</w:t>
      </w:r>
    </w:p>
    <w:p>
      <w:pPr>
        <w:pStyle w:val="Compact"/>
        <w:numPr>
          <w:ilvl w:val="0"/>
          <w:numId w:val="1018"/>
        </w:numPr>
      </w:pPr>
      <w:r>
        <w:t xml:space="preserve">Management delays synergy realization or offers a weaker accretion outlook.</w:t>
      </w:r>
    </w:p>
    <w:p>
      <w:pPr>
        <w:pStyle w:val="Compact"/>
        <w:numPr>
          <w:ilvl w:val="0"/>
          <w:numId w:val="1018"/>
        </w:numPr>
      </w:pPr>
      <w:r>
        <w:t xml:space="preserve">The Canada closing is delayed or requires more debt than expected.</w:t>
      </w:r>
    </w:p>
    <w:p>
      <w:r>
        <w:pict>
          <v:rect style="width:0;height:1.5pt" o:hralign="center" o:hrstd="t" o:hr="t"/>
        </w:pict>
      </w:r>
    </w:p>
    <w:bookmarkEnd w:id="29"/>
    <w:bookmarkEnd w:id="30"/>
    <w:bookmarkStart w:id="31" w:name="bottom-line"/>
    <w:p>
      <w:pPr>
        <w:pStyle w:val="Heading2"/>
      </w:pPr>
      <w:r>
        <w:t xml:space="preserve">Bottom line</w:t>
      </w:r>
    </w:p>
    <w:p>
      <w:pPr>
        <w:pStyle w:val="FirstParagraph"/>
      </w:pPr>
      <w:r>
        <w:t xml:space="preserve">The consensus Core FFO number is not the principal issue. A result close to</w:t>
      </w:r>
      <w:r>
        <w:t xml:space="preserve"> </w:t>
      </w:r>
      <w:r>
        <w:rPr>
          <w:b/>
          <w:bCs/>
        </w:rPr>
        <w:t xml:space="preserve">$4.25 per share</w:t>
      </w:r>
      <w:r>
        <w:t xml:space="preserve"> </w:t>
      </w:r>
      <w:r>
        <w:t xml:space="preserve">would be acceptable if the operating leading indicators remain healthy.</w:t>
      </w:r>
    </w:p>
    <w:p>
      <w:pPr>
        <w:pStyle w:val="BodyText"/>
      </w:pPr>
      <w:r>
        <w:t xml:space="preserve">The most consequential questions are:</w:t>
      </w:r>
    </w:p>
    <w:p>
      <w:pPr>
        <w:pStyle w:val="Compact"/>
        <w:numPr>
          <w:ilvl w:val="0"/>
          <w:numId w:val="1019"/>
        </w:numPr>
      </w:pPr>
      <w:r>
        <w:rPr>
          <w:b/>
          <w:bCs/>
        </w:rPr>
        <w:t xml:space="preserve">Did move-in rents and occupancy continue to improve during peak leasing season?</w:t>
      </w:r>
    </w:p>
    <w:p>
      <w:pPr>
        <w:pStyle w:val="Compact"/>
        <w:numPr>
          <w:ilvl w:val="0"/>
          <w:numId w:val="1019"/>
        </w:numPr>
      </w:pPr>
      <w:r>
        <w:rPr>
          <w:b/>
          <w:bCs/>
        </w:rPr>
        <w:t xml:space="preserve">Can PSA keep expenses controlled as Q1’s property-tax benefit reverses?</w:t>
      </w:r>
    </w:p>
    <w:p>
      <w:pPr>
        <w:pStyle w:val="Compact"/>
        <w:numPr>
          <w:ilvl w:val="0"/>
          <w:numId w:val="1019"/>
        </w:numPr>
      </w:pPr>
      <w:r>
        <w:rPr>
          <w:b/>
          <w:bCs/>
        </w:rPr>
        <w:t xml:space="preserve">What does the newly combined PSA–NSA company earn in 2026 and 2027?</w:t>
      </w:r>
    </w:p>
    <w:p>
      <w:pPr>
        <w:pStyle w:val="Compact"/>
        <w:numPr>
          <w:ilvl w:val="0"/>
          <w:numId w:val="1019"/>
        </w:numPr>
      </w:pPr>
      <w:r>
        <w:rPr>
          <w:b/>
          <w:bCs/>
        </w:rPr>
        <w:t xml:space="preserve">How quickly can management convert</w:t>
      </w:r>
      <w:r>
        <w:rPr>
          <w:b/>
          <w:bCs/>
        </w:rPr>
        <w:t xml:space="preserve"> </w:t>
      </w:r>
      <m:oMath>
        <m:r>
          <m:t>110</m:t>
        </m:r>
        <m:r>
          <m:rPr>
            <m:sty m:val="p"/>
          </m:rPr>
          <m:t>–</m:t>
        </m:r>
      </m:oMath>
      <w:r>
        <w:rPr>
          <w:b/>
          <w:bCs/>
        </w:rPr>
        <w:t xml:space="preserve">130 million of targeted NSA synergies into per-share cash flow?</w:t>
      </w:r>
    </w:p>
    <w:p>
      <w:pPr>
        <w:pStyle w:val="Compact"/>
        <w:numPr>
          <w:ilvl w:val="0"/>
          <w:numId w:val="1019"/>
        </w:numPr>
      </w:pPr>
      <w:r>
        <w:rPr>
          <w:b/>
          <w:bCs/>
        </w:rPr>
        <w:t xml:space="preserve">Does the balance sheet retain enough capacity to integrate NSA, close Canada and continue external growth?</w:t>
      </w:r>
    </w:p>
    <w:p>
      <w:pPr>
        <w:pStyle w:val="FirstParagraph"/>
      </w:pPr>
      <w:r>
        <w:t xml:space="preserve">With PSA shares up sharply this year and trading near 20 times existing guidance, a routine earnings beat may generate only a limited response. The more durable upside would come from evidence that legacy operations are bottoming</w:t>
      </w:r>
      <w:r>
        <w:t xml:space="preserve"> </w:t>
      </w:r>
      <w:r>
        <w:rPr>
          <w:b/>
          <w:bCs/>
        </w:rPr>
        <w:t xml:space="preserve">and</w:t>
      </w:r>
      <w:r>
        <w:t xml:space="preserve"> </w:t>
      </w:r>
      <w:r>
        <w:t xml:space="preserve">that management can translate its acquisition strategy into visible, leverage-conscious per-share growth.</w:t>
      </w:r>
    </w:p>
    <w:bookmarkEnd w:id="31"/>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1" Target="https://au.finance.yahoo.com/news/public-storage-closes-nsa-deal-152800258.html?utm_source=openai" TargetMode="External" /><Relationship Type="http://schemas.openxmlformats.org/officeDocument/2006/relationships/hyperlink" Id="rId20" Target="https://investors.publicstorage.com/news-events/press-releases/news-details/2026/Public-Storage-Announces-Closing-of-National-Storage-Affiliates-Acquisition/default.aspx?utm_source=openai" TargetMode="External" /><Relationship Type="http://schemas.openxmlformats.org/officeDocument/2006/relationships/hyperlink" Id="rId25" Target="https://investors.publicstorage.com/news-events/press-releases/news-details/2026/Public-Storage-Announces-Upsized-3-0-Billion-Revolving-Credit-Facility-New-500-Million-Term-Loan-and-Establishes-1-0-Billion-Commercial-Paper-Program/default.aspx?utm_source=openai" TargetMode="External" /><Relationship Type="http://schemas.openxmlformats.org/officeDocument/2006/relationships/hyperlink" Id="rId23" Target="https://investors.publicstorage.com/news-events/press-releases/news-details/2026/Public-Storage-to-Acquire-Public-Storage-Canada-in-Strategic-Entry-into-Major-Canadian-Markets/default.aspx?utm_source=openai" TargetMode="External" /><Relationship Type="http://schemas.openxmlformats.org/officeDocument/2006/relationships/hyperlink" Id="rId9" Target="https://investors.publicstorage.com/news-events/press-releases/news-details/2026/Public-Storage-to-Release-Second-Quarter-2026-Earnings-Results-and-Host-Quarterly-Conference-Call/default.aspx?utm_source=openai" TargetMode="External" /><Relationship Type="http://schemas.openxmlformats.org/officeDocument/2006/relationships/hyperlink" Id="rId12" Target="https://www.sec.gov/Archives/edgar/data/1393311/000162828026027484/psa-042726xex99_1.htm?utm_source=openai" TargetMode="External" /></Relationships>
</file>

<file path=word/_rels/footnotes.xml.rels><?xml version="1.0" encoding="UTF-8"?><Relationships xmlns="http://schemas.openxmlformats.org/package/2006/relationships"><Relationship Type="http://schemas.openxmlformats.org/officeDocument/2006/relationships/hyperlink" Id="rId11" Target="https://au.finance.yahoo.com/news/public-storage-closes-nsa-deal-152800258.html?utm_source=openai" TargetMode="External" /><Relationship Type="http://schemas.openxmlformats.org/officeDocument/2006/relationships/hyperlink" Id="rId20" Target="https://investors.publicstorage.com/news-events/press-releases/news-details/2026/Public-Storage-Announces-Closing-of-National-Storage-Affiliates-Acquisition/default.aspx?utm_source=openai" TargetMode="External" /><Relationship Type="http://schemas.openxmlformats.org/officeDocument/2006/relationships/hyperlink" Id="rId25" Target="https://investors.publicstorage.com/news-events/press-releases/news-details/2026/Public-Storage-Announces-Upsized-3-0-Billion-Revolving-Credit-Facility-New-500-Million-Term-Loan-and-Establishes-1-0-Billion-Commercial-Paper-Program/default.aspx?utm_source=openai" TargetMode="External" /><Relationship Type="http://schemas.openxmlformats.org/officeDocument/2006/relationships/hyperlink" Id="rId23" Target="https://investors.publicstorage.com/news-events/press-releases/news-details/2026/Public-Storage-to-Acquire-Public-Storage-Canada-in-Strategic-Entry-into-Major-Canadian-Markets/default.aspx?utm_source=openai" TargetMode="External" /><Relationship Type="http://schemas.openxmlformats.org/officeDocument/2006/relationships/hyperlink" Id="rId9" Target="https://investors.publicstorage.com/news-events/press-releases/news-details/2026/Public-Storage-to-Release-Second-Quarter-2026-Earnings-Results-and-Host-Quarterly-Conference-Call/default.aspx?utm_source=openai" TargetMode="External" /><Relationship Type="http://schemas.openxmlformats.org/officeDocument/2006/relationships/hyperlink" Id="rId12" Target="https://www.sec.gov/Archives/edgar/data/1393311/000162828026027484/psa-042726xex99_1.htm?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2026-07-29T02:08:31Z</dcterms:created>
  <dcterms:modified xsi:type="dcterms:W3CDTF">2026-07-29T02:08:31Z</dcterms:modified>
</cp:coreProperties>
</file>

<file path=docProps/custom.xml><?xml version="1.0" encoding="utf-8"?>
<Properties xmlns="http://schemas.openxmlformats.org/officeDocument/2006/custom-properties" xmlns:vt="http://schemas.openxmlformats.org/officeDocument/2006/docPropsVTypes"/>
</file>