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4891a79eaf59a190915c309d17767b46f0cdcab"/>
    <w:p>
      <w:pPr>
        <w:pStyle w:val="Heading1"/>
      </w:pPr>
      <w:r>
        <w:t xml:space="preserve">Public Storage (NYSE: PSA) — 2Q26 Earnings Preview</w:t>
      </w:r>
    </w:p>
    <w:p>
      <w:pPr>
        <w:pStyle w:val="BlockText"/>
      </w:pPr>
      <w:r>
        <w:rPr>
          <w:b/>
          <w:bCs/>
        </w:rPr>
        <w:t xml:space="preserve">Timing note:</w:t>
      </w:r>
      <w:r>
        <w:t xml:space="preserve"> </w:t>
      </w:r>
      <w:r>
        <w:t xml:space="preserve">The event is listed for</w:t>
      </w:r>
      <w:r>
        <w:t xml:space="preserve"> </w:t>
      </w:r>
      <w:r>
        <w:rPr>
          <w:b/>
          <w:bCs/>
        </w:rPr>
        <w:t xml:space="preserve">July 29, 2026</w:t>
      </w:r>
      <w:r>
        <w:t xml:space="preserve">, which is</w:t>
      </w:r>
      <w:r>
        <w:t xml:space="preserve"> </w:t>
      </w:r>
      <w:r>
        <w:rPr>
          <w:b/>
          <w:bCs/>
        </w:rPr>
        <w:t xml:space="preserve">today</w:t>
      </w:r>
      <w:r>
        <w:t xml:space="preserve"> </w:t>
      </w:r>
      <w:r>
        <w:t xml:space="preserve">(Wednesday, July 29), rather than tomorrow. This preview treats the upcoming 2Q26 release/call as imminent.</w:t>
      </w:r>
    </w:p>
    <w:bookmarkStart w:id="9" w:name="X6371e53ce3ceff07e6c16a0c20c5b228662dc56"/>
    <w:p>
      <w:pPr>
        <w:pStyle w:val="Heading2"/>
      </w:pPr>
      <w:r>
        <w:t xml:space="preserve">Investment view: the quarter matters, but the outlook and NSA integration matter more</w:t>
      </w:r>
    </w:p>
    <w:p>
      <w:pPr>
        <w:pStyle w:val="FirstParagraph"/>
      </w:pPr>
      <w:r>
        <w:t xml:space="preserve">Public Storage enters 2Q26 earnings with a constructive setup: first-quarter operating indicators were better than management expected, particularly occupancy, move-in rates, churn, and expense control. However, management also warned that reported year-over-year same-store revenue would likely weaken through 2Q and 3Q because it is a lagging measure relative to late-2025 pricing pressure.</w:t>
      </w:r>
    </w:p>
    <w:p>
      <w:pPr>
        <w:pStyle w:val="BodyText"/>
      </w:pPr>
      <w:r>
        <w:t xml:space="preserve">As a result, the central issue is unlikely to be the headline Core FFO result alone. Investors should focus on:</w:t>
      </w:r>
    </w:p>
    <w:p>
      <w:pPr>
        <w:pStyle w:val="Compact"/>
        <w:numPr>
          <w:ilvl w:val="0"/>
          <w:numId w:val="1001"/>
        </w:numPr>
      </w:pPr>
      <w:r>
        <w:rPr>
          <w:b/>
          <w:bCs/>
        </w:rPr>
        <w:t xml:space="preserve">Whether PSA raises, narrows, or maintains 2026 guidance;</w:t>
      </w:r>
    </w:p>
    <w:p>
      <w:pPr>
        <w:pStyle w:val="Compact"/>
        <w:numPr>
          <w:ilvl w:val="0"/>
          <w:numId w:val="1001"/>
        </w:numPr>
      </w:pPr>
      <w:r>
        <w:rPr>
          <w:b/>
          <w:bCs/>
        </w:rPr>
        <w:t xml:space="preserve">The underlying trajectory of same-store revenue, occupancy, and move-in pricing during peak leasing season;</w:t>
      </w:r>
    </w:p>
    <w:p>
      <w:pPr>
        <w:pStyle w:val="Compact"/>
        <w:numPr>
          <w:ilvl w:val="0"/>
          <w:numId w:val="1001"/>
        </w:numPr>
      </w:pPr>
      <w:r>
        <w:rPr>
          <w:b/>
          <w:bCs/>
        </w:rPr>
        <w:t xml:space="preserve">Early commentary on the now-closed National Storage Affiliates (“NSA”) acquisition;</w:t>
      </w:r>
      <w:r>
        <w:t xml:space="preserve"> </w:t>
      </w:r>
      <w:r>
        <w:t xml:space="preserve">and</w:t>
      </w:r>
    </w:p>
    <w:p>
      <w:pPr>
        <w:pStyle w:val="Compact"/>
        <w:numPr>
          <w:ilvl w:val="0"/>
          <w:numId w:val="1001"/>
        </w:numPr>
      </w:pPr>
      <w:r>
        <w:rPr>
          <w:b/>
          <w:bCs/>
        </w:rPr>
        <w:t xml:space="preserve">Whether the company can preserve its balance-sheet advantage while funding integration, development, and incremental external growth.</w:t>
      </w:r>
    </w:p>
    <w:p>
      <w:pPr>
        <w:pStyle w:val="FirstParagraph"/>
      </w:pPr>
      <w:r>
        <w:t xml:space="preserve">The acquisition of NSA closed on</w:t>
      </w:r>
      <w:r>
        <w:t xml:space="preserve"> </w:t>
      </w:r>
      <w:r>
        <w:rPr>
          <w:b/>
          <w:bCs/>
        </w:rPr>
        <w:t xml:space="preserve">July 22, 2026</w:t>
      </w:r>
      <w:r>
        <w:t xml:space="preserve">, after quarter-end. It therefore should have little or no direct impact on reported 2Q operating results, but it changes the forward narrative materially: PSA is now transitioning from a relatively modest near-term organic-growth story to an integration-and-synergy execution story.</w:t>
      </w:r>
    </w:p>
    <w:p>
      <w:r>
        <w:pict>
          <v:rect style="width:0;height:1.5pt" o:hralign="center" o:hrstd="t" o:hr="t"/>
        </w:pict>
      </w:r>
    </w:p>
    <w:bookmarkEnd w:id="9"/>
    <w:bookmarkStart w:id="10" w:name="what-psa-said-last-quarter"/>
    <w:p>
      <w:pPr>
        <w:pStyle w:val="Heading2"/>
      </w:pPr>
      <w:r>
        <w:t xml:space="preserve">What PSA said last quarter</w:t>
      </w:r>
    </w:p>
    <w:p>
      <w:pPr>
        <w:pStyle w:val="FirstParagraph"/>
      </w:pPr>
      <w:r>
        <w:t xml:space="preserve">PSA reported</w:t>
      </w:r>
      <w:r>
        <w:t xml:space="preserve"> </w:t>
      </w:r>
      <w:r>
        <w:rPr>
          <w:b/>
          <w:bCs/>
        </w:rPr>
        <w:t xml:space="preserve">1Q26 Core FFO of</w:t>
      </w:r>
      <w:r>
        <w:rPr>
          <w:b/>
          <w:bCs/>
        </w:rPr>
        <w:t xml:space="preserve"> </w:t>
      </w:r>
      <m:oMath>
        <m:r>
          <m:t>4.22</m:t>
        </m:r>
        <m:r>
          <m:t>p</m:t>
        </m:r>
        <m:r>
          <m:t>e</m:t>
        </m:r>
        <m:r>
          <m:t>r</m:t>
        </m:r>
        <m:r>
          <m:t>s</m:t>
        </m:r>
        <m:r>
          <m:t>h</m:t>
        </m:r>
        <m:r>
          <m:t>a</m:t>
        </m:r>
        <m:r>
          <m:t>r</m:t>
        </m:r>
        <m:r>
          <m:t>e</m:t>
        </m:r>
        <m:r>
          <m:rPr>
            <m:sty m:val="p"/>
          </m:rPr>
          <m:t>*</m:t>
        </m:r>
        <m:r>
          <m:rPr>
            <m:sty m:val="p"/>
          </m:rPr>
          <m:t>*</m:t>
        </m:r>
        <m:r>
          <m:rPr>
            <m:sty m:val="p"/>
          </m:rPr>
          <m:t>,</m:t>
        </m:r>
        <m:r>
          <m:t>u</m:t>
        </m:r>
        <m:r>
          <m:t>p</m:t>
        </m:r>
        <m:r>
          <m:t>2.4</m:t>
        </m:r>
      </m:oMath>
      <w:r>
        <w:rPr>
          <w:b/>
          <w:bCs/>
        </w:rPr>
        <w:t xml:space="preserve">4.12</w:t>
      </w:r>
      <w:r>
        <w:t xml:space="preserve"> </w:t>
      </w:r>
      <w:r>
        <w:t xml:space="preserve">in 1Q25. Same-store revenue was flat, same-store NOI grew 0.4%, and same-store average occupancy improved 40 basis points to 91.5%. Importantly, non-same-store NOI rose 27.5%, providing a meaningful growth offset to subdued same-store performance.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1Q26 metric</w:t>
            </w:r>
          </w:p>
        </w:tc>
        <w:tc>
          <w:tcPr/>
          <w:p>
            <w:pPr>
              <w:pStyle w:val="Compact"/>
              <w:jc w:val="right"/>
            </w:pPr>
            <w:r>
              <w:t xml:space="preserve">Result</w:t>
            </w:r>
          </w:p>
        </w:tc>
        <w:tc>
          <w:tcPr/>
          <w:p>
            <w:pPr>
              <w:pStyle w:val="Compact"/>
            </w:pPr>
            <w:r>
              <w:t xml:space="preserve">Investor takeaway</w:t>
            </w:r>
          </w:p>
        </w:tc>
      </w:tr>
      <w:tr>
        <w:tc>
          <w:tcPr/>
          <w:p>
            <w:pPr>
              <w:pStyle w:val="Compact"/>
            </w:pPr>
            <w:r>
              <w:t xml:space="preserve">Core FFO/share</w:t>
            </w:r>
          </w:p>
        </w:tc>
        <w:tc>
          <w:tcPr/>
          <w:p>
            <w:pPr>
              <w:pStyle w:val="Compact"/>
              <w:jc w:val="right"/>
            </w:pPr>
            <w:r>
              <w:rPr>
                <w:b/>
                <w:bCs/>
              </w:rPr>
              <w:t xml:space="preserve">$4.22</w:t>
            </w:r>
          </w:p>
        </w:tc>
        <w:tc>
          <w:tcPr/>
          <w:p>
            <w:pPr>
              <w:pStyle w:val="Compact"/>
            </w:pPr>
            <w:r>
              <w:t xml:space="preserve">Solid growth despite muted same-store revenue</w:t>
            </w:r>
          </w:p>
        </w:tc>
      </w:tr>
      <w:tr>
        <w:tc>
          <w:tcPr/>
          <w:p>
            <w:pPr>
              <w:pStyle w:val="Compact"/>
            </w:pPr>
            <w:r>
              <w:t xml:space="preserve">Same-store revenue growth</w:t>
            </w:r>
          </w:p>
        </w:tc>
        <w:tc>
          <w:tcPr/>
          <w:p>
            <w:pPr>
              <w:pStyle w:val="Compact"/>
              <w:jc w:val="right"/>
            </w:pPr>
            <w:r>
              <w:rPr>
                <w:b/>
                <w:bCs/>
              </w:rPr>
              <w:t xml:space="preserve">0.0%</w:t>
            </w:r>
          </w:p>
        </w:tc>
        <w:tc>
          <w:tcPr/>
          <w:p>
            <w:pPr>
              <w:pStyle w:val="Compact"/>
            </w:pPr>
            <w:r>
              <w:t xml:space="preserve">Better than a weak full-year guide would imply, but not yet a recovery</w:t>
            </w:r>
          </w:p>
        </w:tc>
      </w:tr>
      <w:tr>
        <w:tc>
          <w:tcPr/>
          <w:p>
            <w:pPr>
              <w:pStyle w:val="Compact"/>
            </w:pPr>
            <w:r>
              <w:t xml:space="preserve">Same-store NOI growth</w:t>
            </w:r>
          </w:p>
        </w:tc>
        <w:tc>
          <w:tcPr/>
          <w:p>
            <w:pPr>
              <w:pStyle w:val="Compact"/>
              <w:jc w:val="right"/>
            </w:pPr>
            <w:r>
              <w:rPr>
                <w:b/>
                <w:bCs/>
              </w:rPr>
              <w:t xml:space="preserve">+0.4%</w:t>
            </w:r>
          </w:p>
        </w:tc>
        <w:tc>
          <w:tcPr/>
          <w:p>
            <w:pPr>
              <w:pStyle w:val="Compact"/>
            </w:pPr>
            <w:r>
              <w:t xml:space="preserve">Expense control offset flat revenue</w:t>
            </w:r>
          </w:p>
        </w:tc>
      </w:tr>
      <w:tr>
        <w:tc>
          <w:tcPr/>
          <w:p>
            <w:pPr>
              <w:pStyle w:val="Compact"/>
            </w:pPr>
            <w:r>
              <w:t xml:space="preserve">Average occupancy</w:t>
            </w:r>
          </w:p>
        </w:tc>
        <w:tc>
          <w:tcPr/>
          <w:p>
            <w:pPr>
              <w:pStyle w:val="Compact"/>
              <w:jc w:val="right"/>
            </w:pPr>
            <w:r>
              <w:rPr>
                <w:b/>
                <w:bCs/>
              </w:rPr>
              <w:t xml:space="preserve">91.5%</w:t>
            </w:r>
          </w:p>
        </w:tc>
        <w:tc>
          <w:tcPr/>
          <w:p>
            <w:pPr>
              <w:pStyle w:val="Compact"/>
            </w:pPr>
            <w:r>
              <w:t xml:space="preserve">+40 bps YoY; lower churn helped</w:t>
            </w:r>
          </w:p>
        </w:tc>
      </w:tr>
      <w:tr>
        <w:tc>
          <w:tcPr/>
          <w:p>
            <w:pPr>
              <w:pStyle w:val="Compact"/>
            </w:pPr>
            <w:r>
              <w:t xml:space="preserve">Realized rent/occupied sq. ft.</w:t>
            </w:r>
          </w:p>
        </w:tc>
        <w:tc>
          <w:tcPr/>
          <w:p>
            <w:pPr>
              <w:pStyle w:val="Compact"/>
              <w:jc w:val="right"/>
            </w:pPr>
            <w:r>
              <w:rPr>
                <w:b/>
                <w:bCs/>
              </w:rPr>
              <w:t xml:space="preserve">-0.3% YoY</w:t>
            </w:r>
          </w:p>
        </w:tc>
        <w:tc>
          <w:tcPr/>
          <w:p>
            <w:pPr>
              <w:pStyle w:val="Compact"/>
            </w:pPr>
            <w:r>
              <w:t xml:space="preserve">Pricing was still soft, though improving</w:t>
            </w:r>
          </w:p>
        </w:tc>
      </w:tr>
      <w:tr>
        <w:tc>
          <w:tcPr/>
          <w:p>
            <w:pPr>
              <w:pStyle w:val="Compact"/>
            </w:pPr>
            <w:r>
              <w:t xml:space="preserve">Non-same-store NOI growth</w:t>
            </w:r>
          </w:p>
        </w:tc>
        <w:tc>
          <w:tcPr/>
          <w:p>
            <w:pPr>
              <w:pStyle w:val="Compact"/>
              <w:jc w:val="right"/>
            </w:pPr>
            <w:r>
              <w:rPr>
                <w:b/>
                <w:bCs/>
              </w:rPr>
              <w:t xml:space="preserve">+27.5%</w:t>
            </w:r>
          </w:p>
        </w:tc>
        <w:tc>
          <w:tcPr/>
          <w:p>
            <w:pPr>
              <w:pStyle w:val="Compact"/>
            </w:pPr>
            <w:r>
              <w:t xml:space="preserve">Major earnings-growth contributor</w:t>
            </w:r>
          </w:p>
        </w:tc>
      </w:tr>
      <w:tr>
        <w:tc>
          <w:tcPr/>
          <w:p>
            <w:pPr>
              <w:pStyle w:val="Compact"/>
            </w:pPr>
            <w:r>
              <w:t xml:space="preserve">Same-store NOI margin</w:t>
            </w:r>
          </w:p>
        </w:tc>
        <w:tc>
          <w:tcPr/>
          <w:p>
            <w:pPr>
              <w:pStyle w:val="Compact"/>
              <w:jc w:val="right"/>
            </w:pPr>
            <w:r>
              <w:rPr>
                <w:b/>
                <w:bCs/>
              </w:rPr>
              <w:t xml:space="preserve">77.1%</w:t>
            </w:r>
          </w:p>
        </w:tc>
        <w:tc>
          <w:tcPr/>
          <w:p>
            <w:pPr>
              <w:pStyle w:val="Compact"/>
            </w:pPr>
            <w:r>
              <w:t xml:space="preserve">+40 bps YoY, supported by lower operating costs</w:t>
            </w:r>
          </w:p>
        </w:tc>
      </w:tr>
    </w:tbl>
    <w:p>
      <w:pPr>
        <w:pStyle w:val="BodyText"/>
      </w:pPr>
      <w:r>
        <w:t xml:space="preserve">Management characterized April trends as broadly consistent with 1Q: lower move-ins and move-outs, occupancy flat to modestly better year over year, and move-in rates improving to roughly flat-to-slightly-positive territory. That commentary supports an expectation for better sequential operating momentum during the core busy season—but does not eliminate the expected year-over-year pressure in reported revenue.</w:t>
      </w:r>
    </w:p>
    <w:p>
      <w:r>
        <w:pict>
          <v:rect style="width:0;height:1.5pt" o:hralign="center" o:hrstd="t" o:hr="t"/>
        </w:pict>
      </w:r>
    </w:p>
    <w:bookmarkEnd w:id="10"/>
    <w:bookmarkStart w:id="13" w:name="X4405e71e35e908b5e46a8532f1bc69b64e04f30"/>
    <w:p>
      <w:pPr>
        <w:pStyle w:val="Heading2"/>
      </w:pPr>
      <w:r>
        <w:t xml:space="preserve">The key debate: leading indicators versus reported same-store revenue</w:t>
      </w:r>
    </w:p>
    <w:p>
      <w:pPr>
        <w:pStyle w:val="FirstParagraph"/>
      </w:pPr>
      <w:r>
        <w:t xml:space="preserve">PSA’s setup is unusual in that operational leading indicators appeared to improve before the reported same-store revenue line did.</w:t>
      </w:r>
    </w:p>
    <w:bookmarkStart w:id="11" w:name="reasons-to-be-constructive"/>
    <w:p>
      <w:pPr>
        <w:pStyle w:val="Heading3"/>
      </w:pPr>
      <w:r>
        <w:t xml:space="preserve">Reasons to be constructive</w:t>
      </w:r>
    </w:p>
    <w:p>
      <w:pPr>
        <w:pStyle w:val="Compact"/>
        <w:numPr>
          <w:ilvl w:val="0"/>
          <w:numId w:val="1002"/>
        </w:numPr>
      </w:pPr>
      <w:r>
        <w:rPr>
          <w:b/>
          <w:bCs/>
        </w:rPr>
        <w:t xml:space="preserve">Churn declined materially.</w:t>
      </w:r>
      <w:r>
        <w:t xml:space="preserve"> </w:t>
      </w:r>
      <w:r>
        <w:t xml:space="preserve">Existing-customer move-outs were lower, supporting occupancy and reducing the amount of inventory PSA needed to re-rent.</w:t>
      </w:r>
    </w:p>
    <w:p>
      <w:pPr>
        <w:pStyle w:val="Compact"/>
        <w:numPr>
          <w:ilvl w:val="0"/>
          <w:numId w:val="1002"/>
        </w:numPr>
      </w:pPr>
      <w:r>
        <w:rPr>
          <w:b/>
          <w:bCs/>
        </w:rPr>
        <w:t xml:space="preserve">Move-in pricing improved.</w:t>
      </w:r>
      <w:r>
        <w:t xml:space="preserve"> </w:t>
      </w:r>
      <w:r>
        <w:t xml:space="preserve">In 1Q, move-in rents were down 2.4% year over year—better than management’s prior expectation for mid-single-digit declines—and management said April had improved further.</w:t>
      </w:r>
    </w:p>
    <w:p>
      <w:pPr>
        <w:pStyle w:val="Compact"/>
        <w:numPr>
          <w:ilvl w:val="0"/>
          <w:numId w:val="1002"/>
        </w:numPr>
      </w:pPr>
      <w:r>
        <w:rPr>
          <w:b/>
          <w:bCs/>
        </w:rPr>
        <w:t xml:space="preserve">Promotions and marketing expense declined.</w:t>
      </w:r>
      <w:r>
        <w:t xml:space="preserve"> </w:t>
      </w:r>
      <w:r>
        <w:t xml:space="preserve">That combination can indicate less need to buy demand and a stronger revenue-management position.</w:t>
      </w:r>
    </w:p>
    <w:p>
      <w:pPr>
        <w:pStyle w:val="Compact"/>
        <w:numPr>
          <w:ilvl w:val="0"/>
          <w:numId w:val="1002"/>
        </w:numPr>
      </w:pPr>
      <w:r>
        <w:rPr>
          <w:b/>
          <w:bCs/>
        </w:rPr>
        <w:t xml:space="preserve">Expense discipline was excellent.</w:t>
      </w:r>
      <w:r>
        <w:t xml:space="preserve"> </w:t>
      </w:r>
      <w:r>
        <w:t xml:space="preserve">Same-store direct operating expenses declined 1.6% in 1Q, helped by payroll, repair and maintenance, utilities, marketing, and an earlier-than-expected property-tax appeal benefit.</w:t>
      </w:r>
    </w:p>
    <w:p>
      <w:pPr>
        <w:pStyle w:val="Compact"/>
        <w:numPr>
          <w:ilvl w:val="0"/>
          <w:numId w:val="1002"/>
        </w:numPr>
      </w:pPr>
      <w:r>
        <w:rPr>
          <w:b/>
          <w:bCs/>
        </w:rPr>
        <w:t xml:space="preserve">Non-same-store assets remain a growth engine.</w:t>
      </w:r>
      <w:r>
        <w:t xml:space="preserve"> </w:t>
      </w:r>
      <w:r>
        <w:t xml:space="preserve">Acquisitions, development deliveries, expansions, ancillary revenue, and third-party management give PSA more earnings levers than a pure same-store story.</w:t>
      </w:r>
    </w:p>
    <w:bookmarkEnd w:id="11"/>
    <w:bookmarkStart w:id="12" w:name="reasons-for-caution"/>
    <w:p>
      <w:pPr>
        <w:pStyle w:val="Heading3"/>
      </w:pPr>
      <w:r>
        <w:t xml:space="preserve">Reasons for caution</w:t>
      </w:r>
    </w:p>
    <w:p>
      <w:pPr>
        <w:pStyle w:val="Compact"/>
        <w:numPr>
          <w:ilvl w:val="0"/>
          <w:numId w:val="1003"/>
        </w:numPr>
      </w:pPr>
      <w:r>
        <w:rPr>
          <w:b/>
          <w:bCs/>
        </w:rPr>
        <w:t xml:space="preserve">Reported revenue is expected to soften in 2Q and 3Q.</w:t>
      </w:r>
      <w:r>
        <w:t xml:space="preserve"> </w:t>
      </w:r>
      <w:r>
        <w:t xml:space="preserve">Management explicitly warned that weak move-in-rate comparisons from the second half of 2025 would flow through the year-over-year revenue calculation.</w:t>
      </w:r>
    </w:p>
    <w:p>
      <w:pPr>
        <w:pStyle w:val="Compact"/>
        <w:numPr>
          <w:ilvl w:val="0"/>
          <w:numId w:val="1003"/>
        </w:numPr>
      </w:pPr>
      <w:r>
        <w:rPr>
          <w:b/>
          <w:bCs/>
        </w:rPr>
        <w:t xml:space="preserve">Sunbelt markets remain challenged.</w:t>
      </w:r>
      <w:r>
        <w:t xml:space="preserve"> </w:t>
      </w:r>
      <w:r>
        <w:t xml:space="preserve">Supply pressure in markets such as Tampa, Atlanta, Phoenix, Dallas, and parts of Florida continues to weigh on pricing and traffic, even if sequential conditions are improving.</w:t>
      </w:r>
    </w:p>
    <w:p>
      <w:pPr>
        <w:pStyle w:val="Compact"/>
        <w:numPr>
          <w:ilvl w:val="0"/>
          <w:numId w:val="1003"/>
        </w:numPr>
      </w:pPr>
      <w:r>
        <w:rPr>
          <w:b/>
          <w:bCs/>
        </w:rPr>
        <w:t xml:space="preserve">Los Angeles is still a drag.</w:t>
      </w:r>
      <w:r>
        <w:t xml:space="preserve"> </w:t>
      </w:r>
      <w:r>
        <w:t xml:space="preserve">PSA assumed the local state-of-emergency pricing constraints would remain in place through 2026, creating an estimated</w:t>
      </w:r>
      <w:r>
        <w:t xml:space="preserve"> </w:t>
      </w:r>
      <w:r>
        <w:rPr>
          <w:b/>
          <w:bCs/>
        </w:rPr>
        <w:t xml:space="preserve">80-basis-point headwind</w:t>
      </w:r>
      <w:r>
        <w:t xml:space="preserve"> </w:t>
      </w:r>
      <w:r>
        <w:t xml:space="preserve">to full-year same-store performance. A resolution would create future upside, but investors should not assume it in the near-term guide.</w:t>
      </w:r>
    </w:p>
    <w:p>
      <w:pPr>
        <w:pStyle w:val="Compact"/>
        <w:numPr>
          <w:ilvl w:val="0"/>
          <w:numId w:val="1003"/>
        </w:numPr>
      </w:pPr>
      <w:r>
        <w:rPr>
          <w:b/>
          <w:bCs/>
        </w:rPr>
        <w:t xml:space="preserve">1Q expense performance included timing help.</w:t>
      </w:r>
      <w:r>
        <w:t xml:space="preserve"> </w:t>
      </w:r>
      <w:r>
        <w:t xml:space="preserve">Approximately $3 million of property-tax appeal wins arrived earlier than expected. That benefit may reverse as a quarterly tailwind in 2Q, even if full-year expense guidance remains unchanged.</w:t>
      </w:r>
    </w:p>
    <w:p>
      <w:r>
        <w:pict>
          <v:rect style="width:0;height:1.5pt" o:hralign="center" o:hrstd="t" o:hr="t"/>
        </w:pict>
      </w:r>
    </w:p>
    <w:bookmarkEnd w:id="12"/>
    <w:bookmarkEnd w:id="13"/>
    <w:bookmarkStart w:id="14" w:name="guidance-the-most-important-line-item"/>
    <w:p>
      <w:pPr>
        <w:pStyle w:val="Heading2"/>
      </w:pPr>
      <w:r>
        <w:t xml:space="preserve">Guidance: the most important line item</w:t>
      </w:r>
    </w:p>
    <w:p>
      <w:pPr>
        <w:pStyle w:val="FirstParagraph"/>
      </w:pPr>
      <w:r>
        <w:t xml:space="preserve">At 1Q earnings, PSA reaffirmed 2026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 issued with 1Q results</w:t>
            </w:r>
          </w:p>
        </w:tc>
        <w:tc>
          <w:tcPr/>
          <w:p>
            <w:pPr>
              <w:pStyle w:val="Compact"/>
              <w:jc w:val="right"/>
            </w:pPr>
            <w:r>
              <w:t xml:space="preserve">Range</w:t>
            </w:r>
          </w:p>
        </w:tc>
      </w:tr>
      <w:tr>
        <w:tc>
          <w:tcPr/>
          <w:p>
            <w:pPr>
              <w:pStyle w:val="Compact"/>
            </w:pPr>
            <w:r>
              <w:t xml:space="preserve">Same-store revenue growth</w:t>
            </w:r>
          </w:p>
        </w:tc>
        <w:tc>
          <w:tcPr/>
          <w:p>
            <w:pPr>
              <w:pStyle w:val="Compact"/>
              <w:jc w:val="right"/>
            </w:pPr>
            <w:r>
              <w:rPr>
                <w:b/>
                <w:bCs/>
              </w:rPr>
              <w:t xml:space="preserve">(2.2%) to 0.0%</w:t>
            </w:r>
          </w:p>
        </w:tc>
      </w:tr>
      <w:tr>
        <w:tc>
          <w:tcPr/>
          <w:p>
            <w:pPr>
              <w:pStyle w:val="Compact"/>
            </w:pPr>
            <w:r>
              <w:t xml:space="preserve">Same-store expense growth</w:t>
            </w:r>
          </w:p>
        </w:tc>
        <w:tc>
          <w:tcPr/>
          <w:p>
            <w:pPr>
              <w:pStyle w:val="Compact"/>
              <w:jc w:val="right"/>
            </w:pPr>
            <w:r>
              <w:rPr>
                <w:b/>
                <w:bCs/>
              </w:rPr>
              <w:t xml:space="preserve">+1.5% to +2.8%</w:t>
            </w:r>
          </w:p>
        </w:tc>
      </w:tr>
      <w:tr>
        <w:tc>
          <w:tcPr/>
          <w:p>
            <w:pPr>
              <w:pStyle w:val="Compact"/>
            </w:pPr>
            <w:r>
              <w:t xml:space="preserve">Same-store NOI growth</w:t>
            </w:r>
          </w:p>
        </w:tc>
        <w:tc>
          <w:tcPr/>
          <w:p>
            <w:pPr>
              <w:pStyle w:val="Compact"/>
              <w:jc w:val="right"/>
            </w:pPr>
            <w:r>
              <w:rPr>
                <w:b/>
                <w:bCs/>
              </w:rPr>
              <w:t xml:space="preserve">(3.9%) to (0.5%)</w:t>
            </w:r>
          </w:p>
        </w:tc>
      </w:tr>
      <w:tr>
        <w:tc>
          <w:tcPr/>
          <w:p>
            <w:pPr>
              <w:pStyle w:val="Compact"/>
            </w:pPr>
            <w:r>
              <w:t xml:space="preserve">Non-same-store NOI</w:t>
            </w:r>
          </w:p>
        </w:tc>
        <w:tc>
          <w:tcPr/>
          <w:p>
            <w:pPr>
              <w:pStyle w:val="Compact"/>
              <w:jc w:val="right"/>
            </w:pPr>
            <w:r>
              <w:rPr>
                <w:b/>
                <w:bCs/>
              </w:rPr>
              <w:t xml:space="preserve">$335 million to $355 million</w:t>
            </w:r>
          </w:p>
        </w:tc>
      </w:tr>
      <w:tr>
        <w:tc>
          <w:tcPr/>
          <w:p>
            <w:pPr>
              <w:pStyle w:val="Compact"/>
            </w:pPr>
            <w:r>
              <w:t xml:space="preserve">Core FFO/share</w:t>
            </w:r>
          </w:p>
        </w:tc>
        <w:tc>
          <w:tcPr/>
          <w:p>
            <w:pPr>
              <w:pStyle w:val="Compact"/>
              <w:jc w:val="right"/>
            </w:pPr>
            <w:r>
              <w:rPr>
                <w:b/>
                <w:bCs/>
              </w:rPr>
              <w:t xml:space="preserve">$16.35 to $17.00</w:t>
            </w:r>
          </w:p>
        </w:tc>
      </w:tr>
    </w:tbl>
    <w:p>
      <w:pPr>
        <w:pStyle w:val="BodyText"/>
      </w:pPr>
      <w:r>
        <w:t xml:space="preserve">A guidance increase—or even a narrowing toward the upper half—would be the clearest positive signal. Given management’s prior caution around the peak season and the expected revenue lag, simply maintaining guidance alongside evidence of continued sequential improvement would likely be viewed as acceptable.</w:t>
      </w:r>
    </w:p>
    <w:p>
      <w:pPr>
        <w:pStyle w:val="BodyText"/>
      </w:pPr>
      <w:r>
        <w:t xml:space="preserve">Conversely, a cut driven by broad-based same-store weakness, incremental LA pressure, or an expense reset would challenge the recovery thesis.</w:t>
      </w:r>
    </w:p>
    <w:p>
      <w:r>
        <w:pict>
          <v:rect style="width:0;height:1.5pt" o:hralign="center" o:hrstd="t" o:hr="t"/>
        </w:pict>
      </w:r>
    </w:p>
    <w:bookmarkEnd w:id="14"/>
    <w:bookmarkStart w:id="15" w:name="X86eff440517165507385640d5a2caa3ece638ae"/>
    <w:p>
      <w:pPr>
        <w:pStyle w:val="Heading2"/>
      </w:pPr>
      <w:r>
        <w:t xml:space="preserve">NSA: a post-quarter catalyst, not a 2Q earnings contributor</w:t>
      </w:r>
    </w:p>
    <w:p>
      <w:pPr>
        <w:pStyle w:val="FirstParagraph"/>
      </w:pPr>
      <w:r>
        <w:t xml:space="preserve">PSA completed its acquisition of National Storage Affiliates on</w:t>
      </w:r>
      <w:r>
        <w:t xml:space="preserve"> </w:t>
      </w:r>
      <w:r>
        <w:rPr>
          <w:b/>
          <w:bCs/>
        </w:rPr>
        <w:t xml:space="preserve">July 22</w:t>
      </w:r>
      <w:r>
        <w:t xml:space="preserve">, after the June 30 quarter-end. The transaction adds more than 1,000 properties and more than 550,000 units, taking the combined platform to more than 4,500 properties and roughly 327 million rentable square feet in the United States.</w:t>
      </w:r>
    </w:p>
    <w:p>
      <w:pPr>
        <w:pStyle w:val="BodyText"/>
      </w:pPr>
      <w:r>
        <w:t xml:space="preserve">The strategic appeal is clear:</w:t>
      </w:r>
    </w:p>
    <w:p>
      <w:pPr>
        <w:pStyle w:val="Compact"/>
        <w:numPr>
          <w:ilvl w:val="0"/>
          <w:numId w:val="1004"/>
        </w:numPr>
      </w:pPr>
      <w:r>
        <w:t xml:space="preserve">PSA owns key NSA growth properties outright;</w:t>
      </w:r>
    </w:p>
    <w:p>
      <w:pPr>
        <w:pStyle w:val="Compact"/>
        <w:numPr>
          <w:ilvl w:val="0"/>
          <w:numId w:val="1004"/>
        </w:numPr>
      </w:pPr>
      <w:r>
        <w:t xml:space="preserve">A new joint venture contains</w:t>
      </w:r>
      <w:r>
        <w:t xml:space="preserve"> </w:t>
      </w:r>
      <w:r>
        <w:rPr>
          <w:b/>
          <w:bCs/>
        </w:rPr>
        <w:t xml:space="preserve">313 properties</w:t>
      </w:r>
      <w:r>
        <w:t xml:space="preserve"> </w:t>
      </w:r>
      <w:r>
        <w:t xml:space="preserve">across 28 states and Puerto Rico;</w:t>
      </w:r>
    </w:p>
    <w:p>
      <w:pPr>
        <w:pStyle w:val="Compact"/>
        <w:numPr>
          <w:ilvl w:val="0"/>
          <w:numId w:val="1004"/>
        </w:numPr>
      </w:pPr>
      <w:r>
        <w:t xml:space="preserve">PSA owns a minority stake in that JV while earning management, asset-management, and tenant-reinsurance income;</w:t>
      </w:r>
    </w:p>
    <w:p>
      <w:pPr>
        <w:pStyle w:val="Compact"/>
        <w:numPr>
          <w:ilvl w:val="0"/>
          <w:numId w:val="1004"/>
        </w:numPr>
      </w:pPr>
      <w:r>
        <w:t xml:space="preserve">Management expects the transaction to become accretive to FFO per share within the first year after closing; and</w:t>
      </w:r>
    </w:p>
    <w:p>
      <w:pPr>
        <w:pStyle w:val="Compact"/>
        <w:numPr>
          <w:ilvl w:val="0"/>
          <w:numId w:val="1004"/>
        </w:numPr>
      </w:pPr>
      <w:r>
        <w:t xml:space="preserve">PSA targets</w:t>
      </w:r>
      <w:r>
        <w:t xml:space="preserve"> </w:t>
      </w:r>
      <w:r>
        <w:rPr>
          <w:b/>
          <w:bCs/>
        </w:rPr>
        <w:t xml:space="preserve">$110 million to</w:t>
      </w:r>
      <w:r>
        <w:rPr>
          <w:b/>
          <w:bCs/>
        </w:rPr>
        <w:t xml:space="preserve"> </w:t>
      </w:r>
      <m:oMath>
        <m:r>
          <m:t>130</m:t>
        </m:r>
        <m:r>
          <m:t>m</m:t>
        </m:r>
        <m:r>
          <m:t>i</m:t>
        </m:r>
        <m:r>
          <m:t>l</m:t>
        </m:r>
        <m:r>
          <m:t>l</m:t>
        </m:r>
        <m:r>
          <m:t>i</m:t>
        </m:r>
        <m:r>
          <m:t>o</m:t>
        </m:r>
        <m:r>
          <m:t>n</m:t>
        </m:r>
        <m:r>
          <m:t>o</m:t>
        </m:r>
        <m:r>
          <m:t>f</m:t>
        </m:r>
        <m:r>
          <m:t>r</m:t>
        </m:r>
        <m:r>
          <m:t>u</m:t>
        </m:r>
        <m:r>
          <m:t>n</m:t>
        </m:r>
        <m:r>
          <m:rPr>
            <m:sty m:val="p"/>
          </m:rPr>
          <m:t>−</m:t>
        </m:r>
        <m:r>
          <m:t>r</m:t>
        </m:r>
        <m:r>
          <m:t>a</m:t>
        </m:r>
        <m:r>
          <m:t>t</m:t>
        </m:r>
        <m:r>
          <m:t>e</m:t>
        </m:r>
        <m:r>
          <m:t>s</m:t>
        </m:r>
        <m:r>
          <m:t>y</m:t>
        </m:r>
        <m:r>
          <m:t>n</m:t>
        </m:r>
        <m:r>
          <m:t>e</m:t>
        </m:r>
        <m:r>
          <m:t>r</m:t>
        </m:r>
        <m:r>
          <m:t>g</m:t>
        </m:r>
        <m:r>
          <m:t>i</m:t>
        </m:r>
        <m:r>
          <m:t>e</m:t>
        </m:r>
        <m:r>
          <m:t>s</m:t>
        </m:r>
        <m:r>
          <m:rPr>
            <m:sty m:val="p"/>
          </m:rPr>
          <m:t>*</m:t>
        </m:r>
        <m:r>
          <m:rPr>
            <m:sty m:val="p"/>
          </m:rPr>
          <m:t>*</m:t>
        </m:r>
        <m:r>
          <m:t>o</m:t>
        </m:r>
        <m:r>
          <m:t>v</m:t>
        </m:r>
        <m:r>
          <m:t>e</m:t>
        </m:r>
        <m:r>
          <m:t>r</m:t>
        </m:r>
        <m:r>
          <m:t>t</m:t>
        </m:r>
        <m:r>
          <m:t>h</m:t>
        </m:r>
        <m:r>
          <m:t>r</m:t>
        </m:r>
        <m:r>
          <m:t>e</m:t>
        </m:r>
        <m:r>
          <m:t>e</m:t>
        </m:r>
        <m:r>
          <m:t>t</m:t>
        </m:r>
        <m:r>
          <m:t>o</m:t>
        </m:r>
        <m:r>
          <m:t>f</m:t>
        </m:r>
        <m:r>
          <m:t>o</m:t>
        </m:r>
        <m:r>
          <m:t>u</m:t>
        </m:r>
        <m:r>
          <m:t>r</m:t>
        </m:r>
        <m:r>
          <m:t>y</m:t>
        </m:r>
        <m:r>
          <m:t>e</m:t>
        </m:r>
        <m:r>
          <m:t>a</m:t>
        </m:r>
        <m:r>
          <m:t>r</m:t>
        </m:r>
        <m:r>
          <m:t>s</m:t>
        </m:r>
        <m:r>
          <m:rPr>
            <m:sty m:val="p"/>
          </m:rPr>
          <m:t>,</m:t>
        </m:r>
        <m:r>
          <m:t>s</m:t>
        </m:r>
        <m:r>
          <m:t>u</m:t>
        </m:r>
        <m:r>
          <m:t>p</m:t>
        </m:r>
        <m:r>
          <m:t>p</m:t>
        </m:r>
        <m:r>
          <m:t>o</m:t>
        </m:r>
        <m:r>
          <m:t>r</m:t>
        </m:r>
        <m:r>
          <m:t>t</m:t>
        </m:r>
        <m:r>
          <m:t>i</m:t>
        </m:r>
        <m:r>
          <m:t>n</m:t>
        </m:r>
        <m:r>
          <m:t>g</m:t>
        </m:r>
        <m:r>
          <m:t>r</m:t>
        </m:r>
        <m:r>
          <m:t>o</m:t>
        </m:r>
        <m:r>
          <m:t>u</m:t>
        </m:r>
        <m:r>
          <m:t>g</m:t>
        </m:r>
        <m:r>
          <m:t>h</m:t>
        </m:r>
        <m:r>
          <m:t>l</m:t>
        </m:r>
        <m:r>
          <m:t>y</m:t>
        </m:r>
        <m:r>
          <m:rPr>
            <m:sty m:val="p"/>
          </m:rPr>
          <m:t>*</m:t>
        </m:r>
        <m:r>
          <m:rPr>
            <m:sty m:val="p"/>
          </m:rPr>
          <m:t>*</m:t>
        </m:r>
      </m:oMath>
      <w:r>
        <w:rPr>
          <w:b/>
          <w:bCs/>
        </w:rPr>
        <w:t xml:space="preserve">0.35 to $0.50 per share</w:t>
      </w:r>
      <w:r>
        <w:t xml:space="preserve"> </w:t>
      </w:r>
      <w:r>
        <w:t xml:space="preserve">of FFO accretion at stabilization.</w:t>
      </w:r>
    </w:p>
    <w:p>
      <w:pPr>
        <w:pStyle w:val="FirstParagraph"/>
      </w:pPr>
      <w:r>
        <w:t xml:space="preserve">The earnings call should provide the first meaningful opportunity to assess integration readiness: branding conversion, technology migration onto</w:t>
      </w:r>
      <w:r>
        <w:t xml:space="preserve"> </w:t>
      </w:r>
      <w:r>
        <w:rPr>
          <w:b/>
          <w:bCs/>
        </w:rPr>
        <w:t xml:space="preserve">PS Next</w:t>
      </w:r>
      <w:r>
        <w:t xml:space="preserve">, employee retention, early revenue-management opportunities, and the timing of synergies.</w:t>
      </w:r>
    </w:p>
    <w:p>
      <w:pPr>
        <w:pStyle w:val="BodyText"/>
      </w:pPr>
      <w:r>
        <w:t xml:space="preserve">The core risk is execution. PSA also disclosed on July 7 that COO Chris Sambar would depart at the end of July. While the company emphasized its operating leadership depth and plans for leaders to report directly to CEO Tom Boyle until a replacement is named, the timing raises a reasonable question around management bandwidth during a large-scale integration.</w:t>
      </w:r>
    </w:p>
    <w:p>
      <w:r>
        <w:pict>
          <v:rect style="width:0;height:1.5pt" o:hralign="center" o:hrstd="t" o:hr="t"/>
        </w:pict>
      </w:r>
    </w:p>
    <w:bookmarkEnd w:id="15"/>
    <w:bookmarkStart w:id="16" w:name="financing-and-balance-sheet-watchpoints"/>
    <w:p>
      <w:pPr>
        <w:pStyle w:val="Heading2"/>
      </w:pPr>
      <w:r>
        <w:t xml:space="preserve">Financing and balance-sheet watchpoints</w:t>
      </w:r>
    </w:p>
    <w:p>
      <w:pPr>
        <w:pStyle w:val="FirstParagraph"/>
      </w:pPr>
      <w:r>
        <w:t xml:space="preserve">PSA entered 2026 with a strong balance sheet: at March 31, debt-to-EBITDA was 2.9x, net debt plus preferred equity to EBITDA was 4.1x, and the company held A2/A credit ratings from Moody’s and A from S&amp;P.</w:t>
      </w:r>
    </w:p>
    <w:p>
      <w:pPr>
        <w:pStyle w:val="BodyText"/>
      </w:pPr>
      <w:r>
        <w:t xml:space="preserve">The company issued</w:t>
      </w:r>
      <w:r>
        <w:t xml:space="preserve"> </w:t>
      </w:r>
      <m:oMath>
        <m:r>
          <m:t>900</m:t>
        </m:r>
        <m:r>
          <m:t>m</m:t>
        </m:r>
        <m:r>
          <m:t>i</m:t>
        </m:r>
        <m:r>
          <m:t>l</m:t>
        </m:r>
        <m:r>
          <m:t>l</m:t>
        </m:r>
        <m:r>
          <m:t>i</m:t>
        </m:r>
        <m:r>
          <m:t>o</m:t>
        </m:r>
        <m:r>
          <m:t>n</m:t>
        </m:r>
        <m:r>
          <m:rPr>
            <m:sty m:val="p"/>
          </m:rPr>
          <m:t>*</m:t>
        </m:r>
        <m:r>
          <m:rPr>
            <m:sty m:val="p"/>
          </m:rPr>
          <m:t>*</m:t>
        </m:r>
        <m:r>
          <m:t>o</m:t>
        </m:r>
        <m:r>
          <m:t>f</m:t>
        </m:r>
        <m:r>
          <m:t>u</m:t>
        </m:r>
        <m:r>
          <m:t>n</m:t>
        </m:r>
        <m:r>
          <m:t>s</m:t>
        </m:r>
        <m:r>
          <m:t>e</m:t>
        </m:r>
        <m:r>
          <m:t>c</m:t>
        </m:r>
        <m:r>
          <m:t>u</m:t>
        </m:r>
        <m:r>
          <m:t>r</m:t>
        </m:r>
        <m:r>
          <m:t>e</m:t>
        </m:r>
        <m:r>
          <m:t>d</m:t>
        </m:r>
        <m:r>
          <m:t>n</m:t>
        </m:r>
        <m:r>
          <m:t>o</m:t>
        </m:r>
        <m:r>
          <m:t>t</m:t>
        </m:r>
        <m:r>
          <m:t>e</m:t>
        </m:r>
        <m:r>
          <m:t>s</m:t>
        </m:r>
        <m:r>
          <m:t>o</m:t>
        </m:r>
        <m:r>
          <m:t>n</m:t>
        </m:r>
        <m:r>
          <m:t>J</m:t>
        </m:r>
        <m:r>
          <m:t>u</m:t>
        </m:r>
        <m:r>
          <m:t>l</m:t>
        </m:r>
        <m:r>
          <m:t>y</m:t>
        </m:r>
        <m:r>
          <m:t>20</m:t>
        </m:r>
        <m:r>
          <m:rPr>
            <m:sty m:val="p"/>
          </m:rPr>
          <m:t>—</m:t>
        </m:r>
      </m:oMath>
      <w:r>
        <w:rPr>
          <w:b/>
          <w:bCs/>
        </w:rPr>
        <w:t xml:space="preserve">400 million due 2032 at 4.70% and</w:t>
      </w:r>
      <w:r>
        <w:rPr>
          <w:b/>
          <w:bCs/>
        </w:rPr>
        <w:t xml:space="preserve"> </w:t>
      </w:r>
      <m:oMath>
        <m:r>
          <m:t>500</m:t>
        </m:r>
        <m:r>
          <m:t>m</m:t>
        </m:r>
        <m:r>
          <m:t>i</m:t>
        </m:r>
        <m:r>
          <m:t>l</m:t>
        </m:r>
        <m:r>
          <m:t>l</m:t>
        </m:r>
        <m:r>
          <m:t>i</m:t>
        </m:r>
        <m:r>
          <m:t>o</m:t>
        </m:r>
        <m:r>
          <m:t>n</m:t>
        </m:r>
        <m:r>
          <m:t>d</m:t>
        </m:r>
        <m:r>
          <m:t>u</m:t>
        </m:r>
        <m:r>
          <m:t>e</m:t>
        </m:r>
        <m:r>
          <m:t>2036</m:t>
        </m:r>
        <m:r>
          <m:t>a</m:t>
        </m:r>
        <m:r>
          <m:t>t</m:t>
        </m:r>
        <m:r>
          <m:t>5.15</m:t>
        </m:r>
      </m:oMath>
      <w:r>
        <w:rPr>
          <w:b/>
          <w:bCs/>
        </w:rPr>
        <w:t xml:space="preserve">2 billion</w:t>
      </w:r>
      <w:r>
        <w:t xml:space="preserve"> </w:t>
      </w:r>
      <w:r>
        <w:t xml:space="preserve">of secured mortgage financing and PSA supplied</w:t>
      </w:r>
      <w:r>
        <w:t xml:space="preserve"> </w:t>
      </w:r>
      <w:r>
        <w:rPr>
          <w:b/>
          <w:bCs/>
        </w:rPr>
        <w:t xml:space="preserve">$237 million</w:t>
      </w:r>
      <w:r>
        <w:t xml:space="preserve"> </w:t>
      </w:r>
      <w:r>
        <w:t xml:space="preserve">of mezzanine financing.</w:t>
      </w:r>
    </w:p>
    <w:p>
      <w:pPr>
        <w:pStyle w:val="BodyText"/>
      </w:pPr>
      <w:r>
        <w:t xml:space="preserve">Those steps show PSA retaining access to capital, but investors should look for clarity on:</w:t>
      </w:r>
    </w:p>
    <w:p>
      <w:pPr>
        <w:pStyle w:val="Compact"/>
        <w:numPr>
          <w:ilvl w:val="0"/>
          <w:numId w:val="1005"/>
        </w:numPr>
      </w:pPr>
      <w:r>
        <w:t xml:space="preserve">pro forma leverage and interest expense;</w:t>
      </w:r>
    </w:p>
    <w:p>
      <w:pPr>
        <w:pStyle w:val="Compact"/>
        <w:numPr>
          <w:ilvl w:val="0"/>
          <w:numId w:val="1005"/>
        </w:numPr>
      </w:pPr>
      <w:r>
        <w:t xml:space="preserve">the cash-flow contribution from the PSA-provided JV mezzanine loan;</w:t>
      </w:r>
    </w:p>
    <w:p>
      <w:pPr>
        <w:pStyle w:val="Compact"/>
        <w:numPr>
          <w:ilvl w:val="0"/>
          <w:numId w:val="1005"/>
        </w:numPr>
      </w:pPr>
      <w:r>
        <w:t xml:space="preserve">expected uses of remaining capital capacity;</w:t>
      </w:r>
    </w:p>
    <w:p>
      <w:pPr>
        <w:pStyle w:val="Compact"/>
        <w:numPr>
          <w:ilvl w:val="0"/>
          <w:numId w:val="1005"/>
        </w:numPr>
      </w:pPr>
      <w:r>
        <w:t xml:space="preserve">whether additional acquisitions slow temporarily while NSA integration is prioritized; and</w:t>
      </w:r>
    </w:p>
    <w:p>
      <w:pPr>
        <w:pStyle w:val="Compact"/>
        <w:numPr>
          <w:ilvl w:val="0"/>
          <w:numId w:val="1005"/>
        </w:numPr>
      </w:pPr>
      <w:r>
        <w:t xml:space="preserve">the degree to which PSA’s development pipeline remains attractive in a higher-cost funding environment.</w:t>
      </w:r>
    </w:p>
    <w:p>
      <w:r>
        <w:pict>
          <v:rect style="width:0;height:1.5pt" o:hralign="center" o:hrstd="t" o:hr="t"/>
        </w:pict>
      </w:r>
    </w:p>
    <w:bookmarkEnd w:id="16"/>
    <w:bookmarkStart w:id="19" w:name="what-to-watch-in-the-release-and-call"/>
    <w:p>
      <w:pPr>
        <w:pStyle w:val="Heading2"/>
      </w:pPr>
      <w:r>
        <w:t xml:space="preserve">What to watch in the release and call</w:t>
      </w:r>
    </w:p>
    <w:bookmarkStart w:id="17" w:name="highest-priority-operating-metrics"/>
    <w:p>
      <w:pPr>
        <w:pStyle w:val="Heading3"/>
      </w:pPr>
      <w:r>
        <w:t xml:space="preserve">Highest-priority operating metrics</w:t>
      </w:r>
    </w:p>
    <w:p>
      <w:pPr>
        <w:pStyle w:val="Compact"/>
        <w:numPr>
          <w:ilvl w:val="0"/>
          <w:numId w:val="1006"/>
        </w:numPr>
      </w:pPr>
      <w:r>
        <w:rPr>
          <w:b/>
          <w:bCs/>
        </w:rPr>
        <w:t xml:space="preserve">Same-store revenue, NOI, and occupancy</w:t>
      </w:r>
      <w:r>
        <w:t xml:space="preserve"> </w:t>
      </w:r>
      <w:r>
        <w:t xml:space="preserve">relative to the 1Q trend.</w:t>
      </w:r>
    </w:p>
    <w:p>
      <w:pPr>
        <w:pStyle w:val="Compact"/>
        <w:numPr>
          <w:ilvl w:val="0"/>
          <w:numId w:val="1006"/>
        </w:numPr>
      </w:pPr>
      <w:r>
        <w:rPr>
          <w:b/>
          <w:bCs/>
        </w:rPr>
        <w:t xml:space="preserve">Move-in rent growth</w:t>
      </w:r>
      <w:r>
        <w:t xml:space="preserve">, promotional intensity, and marketing spend.</w:t>
      </w:r>
    </w:p>
    <w:p>
      <w:pPr>
        <w:pStyle w:val="Compact"/>
        <w:numPr>
          <w:ilvl w:val="0"/>
          <w:numId w:val="1006"/>
        </w:numPr>
      </w:pPr>
      <w:r>
        <w:rPr>
          <w:b/>
          <w:bCs/>
        </w:rPr>
        <w:t xml:space="preserve">Existing-customer rent increases and churn</w:t>
      </w:r>
      <w:r>
        <w:t xml:space="preserve">, which determine whether occupancy strength can translate into revenue.</w:t>
      </w:r>
    </w:p>
    <w:p>
      <w:pPr>
        <w:pStyle w:val="Compact"/>
        <w:numPr>
          <w:ilvl w:val="0"/>
          <w:numId w:val="1006"/>
        </w:numPr>
      </w:pPr>
      <w:r>
        <w:rPr>
          <w:b/>
          <w:bCs/>
        </w:rPr>
        <w:t xml:space="preserve">Sunbelt versus coastal/Midwest performance.</w:t>
      </w:r>
    </w:p>
    <w:p>
      <w:pPr>
        <w:pStyle w:val="Compact"/>
        <w:numPr>
          <w:ilvl w:val="0"/>
          <w:numId w:val="1006"/>
        </w:numPr>
      </w:pPr>
      <w:r>
        <w:rPr>
          <w:b/>
          <w:bCs/>
        </w:rPr>
        <w:t xml:space="preserve">Los Angeles pricing restrictions</w:t>
      </w:r>
      <w:r>
        <w:t xml:space="preserve"> </w:t>
      </w:r>
      <w:r>
        <w:t xml:space="preserve">and any revised outlook for their duration or earnings impact.</w:t>
      </w:r>
    </w:p>
    <w:p>
      <w:pPr>
        <w:pStyle w:val="Compact"/>
        <w:numPr>
          <w:ilvl w:val="0"/>
          <w:numId w:val="1006"/>
        </w:numPr>
      </w:pPr>
      <w:r>
        <w:rPr>
          <w:b/>
          <w:bCs/>
        </w:rPr>
        <w:t xml:space="preserve">Expense growth</w:t>
      </w:r>
      <w:r>
        <w:t xml:space="preserve">, especially property taxes after the 1Q timing benefit.</w:t>
      </w:r>
    </w:p>
    <w:bookmarkEnd w:id="17"/>
    <w:bookmarkStart w:id="18" w:name="highest-priority-strategic-questions"/>
    <w:p>
      <w:pPr>
        <w:pStyle w:val="Heading3"/>
      </w:pPr>
      <w:r>
        <w:t xml:space="preserve">Highest-priority strategic questions</w:t>
      </w:r>
    </w:p>
    <w:p>
      <w:pPr>
        <w:pStyle w:val="Compact"/>
        <w:numPr>
          <w:ilvl w:val="0"/>
          <w:numId w:val="1007"/>
        </w:numPr>
      </w:pPr>
      <w:r>
        <w:t xml:space="preserve">Does PSA update its</w:t>
      </w:r>
      <w:r>
        <w:t xml:space="preserve"> </w:t>
      </w:r>
      <w:r>
        <w:rPr>
          <w:b/>
          <w:bCs/>
        </w:rPr>
        <w:t xml:space="preserve">2026 Core FFO guidance</w:t>
      </w:r>
      <w:r>
        <w:t xml:space="preserve">?</w:t>
      </w:r>
    </w:p>
    <w:p>
      <w:pPr>
        <w:pStyle w:val="Compact"/>
        <w:numPr>
          <w:ilvl w:val="0"/>
          <w:numId w:val="1007"/>
        </w:numPr>
      </w:pPr>
      <w:r>
        <w:t xml:space="preserve">Is the</w:t>
      </w:r>
      <w:r>
        <w:t xml:space="preserve"> </w:t>
      </w:r>
      <w:r>
        <w:rPr>
          <w:b/>
          <w:bCs/>
        </w:rPr>
        <w:t xml:space="preserve">NSA accretion and synergy framework</w:t>
      </w:r>
      <w:r>
        <w:t xml:space="preserve"> </w:t>
      </w:r>
      <w:r>
        <w:t xml:space="preserve">unchanged?</w:t>
      </w:r>
    </w:p>
    <w:p>
      <w:pPr>
        <w:pStyle w:val="Compact"/>
        <w:numPr>
          <w:ilvl w:val="0"/>
          <w:numId w:val="1007"/>
        </w:numPr>
      </w:pPr>
      <w:r>
        <w:t xml:space="preserve">What are the first milestones and costs of the integration?</w:t>
      </w:r>
    </w:p>
    <w:p>
      <w:pPr>
        <w:pStyle w:val="Compact"/>
        <w:numPr>
          <w:ilvl w:val="0"/>
          <w:numId w:val="1007"/>
        </w:numPr>
      </w:pPr>
      <w:r>
        <w:t xml:space="preserve">Does management quantify NSA’s expected contribution to 3Q/4Q results?</w:t>
      </w:r>
    </w:p>
    <w:p>
      <w:pPr>
        <w:pStyle w:val="Compact"/>
        <w:numPr>
          <w:ilvl w:val="0"/>
          <w:numId w:val="1007"/>
        </w:numPr>
      </w:pPr>
      <w:r>
        <w:t xml:space="preserve">How will leadership cover the COO transition during integration?</w:t>
      </w:r>
    </w:p>
    <w:p>
      <w:pPr>
        <w:pStyle w:val="Compact"/>
        <w:numPr>
          <w:ilvl w:val="0"/>
          <w:numId w:val="1007"/>
        </w:numPr>
      </w:pPr>
      <w:r>
        <w:t xml:space="preserve">Does PSA remain active in acquisitions, development, lending, and third-party management after the deal?</w:t>
      </w:r>
    </w:p>
    <w:p>
      <w:r>
        <w:pict>
          <v:rect style="width:0;height:1.5pt" o:hralign="center" o:hrstd="t" o:hr="t"/>
        </w:pict>
      </w:r>
    </w:p>
    <w:bookmarkEnd w:id="18"/>
    <w:bookmarkEnd w:id="19"/>
    <w:bookmarkStart w:id="20" w:name="bottom-line"/>
    <w:p>
      <w:pPr>
        <w:pStyle w:val="Heading2"/>
      </w:pPr>
      <w:r>
        <w:t xml:space="preserve">Bottom line</w:t>
      </w:r>
    </w:p>
    <w:p>
      <w:pPr>
        <w:pStyle w:val="FirstParagraph"/>
      </w:pPr>
      <w:r>
        <w:t xml:space="preserve">The near-term earnings setup is mixed but improving: PSA’s reported same-store revenue may still look soft, yet the indicators that matter for a subsequent recovery—occupancy, churn, move-in pricing, promotions, and marketing efficiency—were moving in the right direction entering the busy season.</w:t>
      </w:r>
    </w:p>
    <w:p>
      <w:pPr>
        <w:pStyle w:val="BodyText"/>
      </w:pPr>
      <w:r>
        <w:t xml:space="preserve">For investors, the most bullish outcome is not necessarily a large 2Q Core FFO beat. It is a combination of:</w:t>
      </w:r>
    </w:p>
    <w:p>
      <w:pPr>
        <w:pStyle w:val="Compact"/>
        <w:numPr>
          <w:ilvl w:val="0"/>
          <w:numId w:val="1008"/>
        </w:numPr>
      </w:pPr>
      <w:r>
        <w:t xml:space="preserve">stable-to-improving same-store trends,</w:t>
      </w:r>
    </w:p>
    <w:p>
      <w:pPr>
        <w:pStyle w:val="Compact"/>
        <w:numPr>
          <w:ilvl w:val="0"/>
          <w:numId w:val="1008"/>
        </w:numPr>
      </w:pPr>
      <w:r>
        <w:t xml:space="preserve">a constructive guide update or narrowing,</w:t>
      </w:r>
    </w:p>
    <w:p>
      <w:pPr>
        <w:pStyle w:val="Compact"/>
        <w:numPr>
          <w:ilvl w:val="0"/>
          <w:numId w:val="1008"/>
        </w:numPr>
      </w:pPr>
      <w:r>
        <w:t xml:space="preserve">continued cost discipline,</w:t>
      </w:r>
    </w:p>
    <w:p>
      <w:pPr>
        <w:pStyle w:val="Compact"/>
        <w:numPr>
          <w:ilvl w:val="0"/>
          <w:numId w:val="1008"/>
        </w:numPr>
      </w:pPr>
      <w:r>
        <w:t xml:space="preserve">confirmation that LA and Sunbelt pressure are manageable, and</w:t>
      </w:r>
    </w:p>
    <w:p>
      <w:pPr>
        <w:pStyle w:val="Compact"/>
        <w:numPr>
          <w:ilvl w:val="0"/>
          <w:numId w:val="1008"/>
        </w:numPr>
      </w:pPr>
      <w:r>
        <w:t xml:space="preserve">credible evidence that NSA integration is already moving from transaction rationale to operational execution.</w:t>
      </w:r>
    </w:p>
    <w:p>
      <w:pPr>
        <w:pStyle w:val="FirstParagraph"/>
      </w:pPr>
      <w:r>
        <w:t xml:space="preserve">The downside case is that PSA’s better 1Q trends prove temporary, same-store revenue deteriorates more sharply than guided, and the newly enlarged platform introduces integration complexity before the company has demonstrated tangible synergy capture.</w:t>
      </w:r>
    </w:p>
    <w:p>
      <w:pPr>
        <w:pStyle w:val="BodyText"/>
      </w:pPr>
      <w:r>
        <w:rPr>
          <w:b/>
          <w:bCs/>
        </w:rPr>
        <w:t xml:space="preserve">Primary sources reviewed:</w:t>
      </w:r>
      <w:r>
        <w:t xml:space="preserve"> </w:t>
      </w:r>
      <w:r>
        <w:t xml:space="preserve">Public Storage 1Q26 earnings release and conference-call transcript (April 27–28, 2026); PSA filings regarding the COO transition (July 7, 2026), $900 million note issuance (July 20, 2026), and NSA acquisition closing (July 22, 2026); PSA 2Q25 earnings release for year-over-year comparison.</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2026-07-29T02:06:37Z</dcterms:created>
  <dcterms:modified xsi:type="dcterms:W3CDTF">2026-07-29T02:06:37Z</dcterms:modified>
</cp:coreProperties>
</file>

<file path=docProps/custom.xml><?xml version="1.0" encoding="utf-8"?>
<Properties xmlns="http://schemas.openxmlformats.org/officeDocument/2006/custom-properties" xmlns:vt="http://schemas.openxmlformats.org/officeDocument/2006/docPropsVTypes"/>
</file>