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Public Storage (PSA)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Public Storage</w:t>
            </w:r>
          </w:p>
        </w:tc>
      </w:tr>
      <w:tr>
        <w:tc>
          <w:tcPr>
            <w:tcW w:type="dxa" w:w="4320"/>
          </w:tcPr>
          <w:p>
            <w:r>
              <w:rPr>
                <w:rFonts w:ascii="Calibri" w:hAnsi="Calibri"/>
                <w:b/>
                <w:sz w:val="22"/>
              </w:rPr>
              <w:t>Ticker</w:t>
            </w:r>
          </w:p>
        </w:tc>
        <w:tc>
          <w:tcPr>
            <w:tcW w:type="dxa" w:w="4320"/>
          </w:tcPr>
          <w:p>
            <w:r>
              <w:rPr>
                <w:rFonts w:ascii="Calibri" w:hAnsi="Calibri"/>
                <w:sz w:val="22"/>
              </w:rPr>
              <w:t>PSA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ETF Benchmark</w:t>
            </w:r>
          </w:p>
        </w:tc>
        <w:tc>
          <w:tcPr>
            <w:tcW w:type="dxa" w:w="4320"/>
          </w:tcPr>
          <w:p>
            <w:r>
              <w:rPr>
                <w:rFonts w:ascii="Calibri" w:hAnsi="Calibri"/>
                <w:sz w:val="22"/>
              </w:rPr>
              <w:t>Peers: EXR, CUBE (self-storage sub-sector)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is constructive but not without risk — the biggest swing factor is whether the busy season delivered the move-in rate inflection management telegraphed in April, and whether the NSA acquisition close (July 22) creates any near-term FFO dilution noise.</w:t>
      </w:r>
    </w:p>
    <w:p>
      <w:r>
        <w:rPr>
          <w:rFonts w:ascii="Calibri" w:hAnsi="Calibri"/>
          <w:color w:val="525866"/>
          <w:sz w:val="22"/>
        </w:rPr>
        <w:t xml:space="preserve">Heading into the Q2 2026 print, consensus sits at </w:t>
      </w:r>
      <w:r>
        <w:rPr>
          <w:rFonts w:ascii="Calibri" w:hAnsi="Calibri"/>
          <w:b/>
          <w:color w:val="525866"/>
          <w:sz w:val="22"/>
        </w:rPr>
        <w:t>$4.25 Core FFO per share</w:t>
      </w:r>
      <w:r>
        <w:rPr>
          <w:rFonts w:ascii="Calibri" w:hAnsi="Calibri"/>
          <w:color w:val="525866"/>
          <w:sz w:val="22"/>
        </w:rPr>
        <w:t xml:space="preserve"> — a modest -0.7% YoY decline versus the $4.28 reported in Q2 2025 — representing a low bar given PSA has beaten Core FFO consensus in 6 of the last 8 quarters and has outperformed same-store revenue growth expectations in all 8. Management reaffirmed full-year guidance at the Q1 2026 earnings call despite a $0.10 beat, citing </w:t>
      </w:r>
      <w:r>
        <w:rPr>
          <w:rFonts w:ascii="Calibri" w:hAnsi="Calibri"/>
          <w:b/>
          <w:color w:val="525866"/>
          <w:sz w:val="22"/>
        </w:rPr>
        <w:t>busy season uncertainty and the pending NSA closing</w:t>
      </w:r>
      <w:r>
        <w:rPr>
          <w:rFonts w:ascii="Calibri" w:hAnsi="Calibri"/>
          <w:color w:val="525866"/>
          <w:sz w:val="22"/>
        </w:rPr>
        <w:t xml:space="preserve"> as reasons for caution, which has kept estimates anchored near the guidance midpoint and left room for upside if the summer leasing season delivered. April operating trends were encouraging — management confirmed move-in rates improving to </w:t>
      </w:r>
      <w:r>
        <w:rPr>
          <w:rFonts w:ascii="Calibri" w:hAnsi="Calibri"/>
          <w:b/>
          <w:color w:val="525866"/>
          <w:sz w:val="22"/>
        </w:rPr>
        <w:t>flat to slightly positive YoY</w:t>
      </w:r>
      <w:r>
        <w:rPr>
          <w:rFonts w:ascii="Calibri" w:hAnsi="Calibri"/>
          <w:color w:val="525866"/>
          <w:sz w:val="22"/>
        </w:rPr>
        <w:t xml:space="preserve"> and occupancy flat to slightly better YoY — and peer data from CubeSmart (Q1 call, May 2026) and Extra Space Storage (Q2 results, July 28) both confirm the sector recovery is real and broadening, with supply headwinds fading and existing customer churn remaining low. The </w:t>
      </w:r>
      <w:r>
        <w:rPr>
          <w:rFonts w:ascii="Calibri" w:hAnsi="Calibri"/>
          <w:b/>
          <w:color w:val="525866"/>
          <w:sz w:val="22"/>
        </w:rPr>
        <w:t>NSA acquisition closed July 22</w:t>
      </w:r>
      <w:r>
        <w:rPr>
          <w:rFonts w:ascii="Calibri" w:hAnsi="Calibri"/>
          <w:color w:val="525866"/>
          <w:sz w:val="22"/>
        </w:rPr>
        <w:t xml:space="preserve"> — after Q2 end — so the income statement impact is a Q3+ story, but the deal structure, JV economics, and integration timeline will dominate the call narrative and could create noise around reported metrics. The key wildcard is the </w:t>
      </w:r>
      <w:r>
        <w:rPr>
          <w:rFonts w:ascii="Calibri" w:hAnsi="Calibri"/>
          <w:b/>
          <w:color w:val="525866"/>
          <w:sz w:val="22"/>
        </w:rPr>
        <w:t>Los Angeles state of emergency</w:t>
      </w:r>
      <w:r>
        <w:rPr>
          <w:rFonts w:ascii="Calibri" w:hAnsi="Calibri"/>
          <w:color w:val="525866"/>
          <w:sz w:val="22"/>
        </w:rPr>
        <w:t>, which management guided would create a worsening YoY drag through Q2 and Q3 due to comp timing — any update on the LA situation or an earlier-than-expected lifting of restrictions could be the single biggest positive surprise on the call.</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modest bar on Core FFO ($4.25 vs. $4.28 prior year), but </w:t>
      </w:r>
      <w:r>
        <w:rPr>
          <w:rFonts w:ascii="Calibri" w:hAnsi="Calibri"/>
          <w:b/>
          <w:color w:val="525866"/>
          <w:sz w:val="22"/>
        </w:rPr>
        <w:t>same-store revenue growth consensus of -0.34% YoY is the real swing factor</w:t>
      </w:r>
      <w:r>
        <w:rPr>
          <w:rFonts w:ascii="Calibri" w:hAnsi="Calibri"/>
          <w:color w:val="525866"/>
          <w:sz w:val="22"/>
        </w:rPr>
        <w:t xml:space="preserve"> — any positive surprise there would be meaningful given the sector recovery narrative and EXR's +2.4% actual reported today.</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Core FFO per Share (diluted)</w:t>
            </w:r>
          </w:p>
        </w:tc>
        <w:tc>
          <w:tcPr>
            <w:tcW w:type="dxa" w:w="1234"/>
          </w:tcPr>
          <w:p>
            <w:r>
              <w:rPr>
                <w:rFonts w:ascii="Calibri" w:hAnsi="Calibri"/>
                <w:sz w:val="22"/>
              </w:rPr>
              <w:t>$4.22</w:t>
            </w:r>
          </w:p>
        </w:tc>
        <w:tc>
          <w:tcPr>
            <w:tcW w:type="dxa" w:w="1234"/>
          </w:tcPr>
          <w:p>
            <w:r>
              <w:rPr>
                <w:rFonts w:ascii="Calibri" w:hAnsi="Calibri"/>
                <w:sz w:val="22"/>
              </w:rPr>
              <w:t>$4.28</w:t>
            </w:r>
          </w:p>
        </w:tc>
        <w:tc>
          <w:tcPr>
            <w:tcW w:type="dxa" w:w="1234"/>
          </w:tcPr>
          <w:p>
            <w:r>
              <w:rPr>
                <w:rFonts w:ascii="Calibri" w:hAnsi="Calibri"/>
                <w:sz w:val="22"/>
              </w:rPr>
              <w:t>$4.25</w:t>
            </w:r>
          </w:p>
        </w:tc>
        <w:tc>
          <w:tcPr>
            <w:tcW w:type="dxa" w:w="1234"/>
          </w:tcPr>
          <w:p>
            <w:r>
              <w:rPr>
                <w:rFonts w:ascii="Calibri" w:hAnsi="Calibri"/>
                <w:sz w:val="22"/>
              </w:rPr>
              <w:t>-0.7%</w:t>
            </w:r>
          </w:p>
        </w:tc>
        <w:tc>
          <w:tcPr>
            <w:tcW w:type="dxa" w:w="1234"/>
          </w:tcPr>
          <w:p>
            <w:r>
              <w:rPr>
                <w:rFonts w:ascii="Calibri" w:hAnsi="Calibri"/>
                <w:sz w:val="22"/>
              </w:rPr>
              <w:t>FY $16.50–$17.00 (mid $16.75, ~$4.19/Q implied)</w:t>
            </w:r>
          </w:p>
        </w:tc>
        <w:tc>
          <w:tcPr>
            <w:tcW w:type="dxa" w:w="1234"/>
          </w:tcPr>
          <w:p>
            <w:r>
              <w:rPr>
                <w:rFonts w:ascii="Calibri" w:hAnsi="Calibri"/>
                <w:sz w:val="22"/>
              </w:rPr>
              <w:t>+1.4% above implied quarterly midpoint</w:t>
            </w:r>
          </w:p>
        </w:tc>
      </w:tr>
      <w:tr>
        <w:tc>
          <w:tcPr>
            <w:tcW w:type="dxa" w:w="1234"/>
          </w:tcPr>
          <w:p>
            <w:r>
              <w:rPr>
                <w:rFonts w:ascii="Calibri" w:hAnsi="Calibri"/>
                <w:sz w:val="22"/>
              </w:rPr>
              <w:t>Same-Store Revenue ($M)</w:t>
            </w:r>
          </w:p>
        </w:tc>
        <w:tc>
          <w:tcPr>
            <w:tcW w:type="dxa" w:w="1234"/>
          </w:tcPr>
          <w:p>
            <w:r>
              <w:rPr>
                <w:rFonts w:ascii="Calibri" w:hAnsi="Calibri"/>
                <w:sz w:val="22"/>
              </w:rPr>
              <w:t>$1,000.8M</w:t>
            </w:r>
          </w:p>
        </w:tc>
        <w:tc>
          <w:tcPr>
            <w:tcW w:type="dxa" w:w="1234"/>
          </w:tcPr>
          <w:p>
            <w:r>
              <w:rPr>
                <w:rFonts w:ascii="Calibri" w:hAnsi="Calibri"/>
                <w:sz w:val="22"/>
              </w:rPr>
              <w:t>$1,012.4M</w:t>
            </w:r>
          </w:p>
        </w:tc>
        <w:tc>
          <w:tcPr>
            <w:tcW w:type="dxa" w:w="1234"/>
          </w:tcPr>
          <w:p>
            <w:r>
              <w:rPr>
                <w:rFonts w:ascii="Calibri" w:hAnsi="Calibri"/>
                <w:sz w:val="22"/>
              </w:rPr>
              <w:t>$1,010.5M</w:t>
            </w:r>
          </w:p>
        </w:tc>
        <w:tc>
          <w:tcPr>
            <w:tcW w:type="dxa" w:w="1234"/>
          </w:tcPr>
          <w:p>
            <w:r>
              <w:rPr>
                <w:rFonts w:ascii="Calibri" w:hAnsi="Calibri"/>
                <w:sz w:val="22"/>
              </w:rPr>
              <w:t>-0.2% (consensus)</w:t>
            </w:r>
          </w:p>
        </w:tc>
        <w:tc>
          <w:tcPr>
            <w:tcW w:type="dxa" w:w="1234"/>
          </w:tcPr>
          <w:p>
            <w:r>
              <w:rPr>
                <w:rFonts w:ascii="Calibri" w:hAnsi="Calibri"/>
                <w:sz w:val="22"/>
              </w:rPr>
              <w:t>FY SS rev growth guided -0.15% to +0.24% (mid ~flat)</w:t>
            </w:r>
          </w:p>
        </w:tc>
        <w:tc>
          <w:tcPr>
            <w:tcW w:type="dxa" w:w="1234"/>
          </w:tcPr>
          <w:p>
            <w:r>
              <w:rPr>
                <w:rFonts w:ascii="Calibri" w:hAnsi="Calibri"/>
                <w:sz w:val="22"/>
              </w:rPr>
              <w:t>In-line with guidance range</w:t>
            </w:r>
          </w:p>
        </w:tc>
      </w:tr>
      <w:tr>
        <w:tc>
          <w:tcPr>
            <w:tcW w:type="dxa" w:w="1234"/>
          </w:tcPr>
          <w:p>
            <w:r>
              <w:rPr>
                <w:rFonts w:ascii="Calibri" w:hAnsi="Calibri"/>
                <w:sz w:val="22"/>
              </w:rPr>
              <w:t>Same-Store Revenue Growth (%)</w:t>
            </w:r>
          </w:p>
        </w:tc>
        <w:tc>
          <w:tcPr>
            <w:tcW w:type="dxa" w:w="1234"/>
          </w:tcPr>
          <w:p>
            <w:r>
              <w:rPr>
                <w:rFonts w:ascii="Calibri" w:hAnsi="Calibri"/>
                <w:sz w:val="22"/>
              </w:rPr>
              <w:t>-0.02%</w:t>
            </w:r>
          </w:p>
        </w:tc>
        <w:tc>
          <w:tcPr>
            <w:tcW w:type="dxa" w:w="1234"/>
          </w:tcPr>
          <w:p>
            <w:r>
              <w:rPr>
                <w:rFonts w:ascii="Calibri" w:hAnsi="Calibri"/>
                <w:sz w:val="22"/>
              </w:rPr>
              <w:t>+0.2%</w:t>
            </w:r>
          </w:p>
        </w:tc>
        <w:tc>
          <w:tcPr>
            <w:tcW w:type="dxa" w:w="1234"/>
          </w:tcPr>
          <w:p>
            <w:r>
              <w:rPr>
                <w:rFonts w:ascii="Calibri" w:hAnsi="Calibri"/>
                <w:sz w:val="22"/>
              </w:rPr>
              <w:t>-0.34%</w:t>
            </w:r>
          </w:p>
        </w:tc>
        <w:tc>
          <w:tcPr>
            <w:tcW w:type="dxa" w:w="1234"/>
          </w:tcPr>
          <w:p>
            <w:r>
              <w:rPr>
                <w:rFonts w:ascii="Calibri" w:hAnsi="Calibri"/>
                <w:sz w:val="22"/>
              </w:rPr>
              <w:t>N/A</w:t>
            </w:r>
          </w:p>
        </w:tc>
        <w:tc>
          <w:tcPr>
            <w:tcW w:type="dxa" w:w="1234"/>
          </w:tcPr>
          <w:p>
            <w:r>
              <w:rPr>
                <w:rFonts w:ascii="Calibri" w:hAnsi="Calibri"/>
                <w:sz w:val="22"/>
              </w:rPr>
              <w:t>FY guided ~flat (-0.15% to +0.24%)</w:t>
            </w:r>
          </w:p>
        </w:tc>
        <w:tc>
          <w:tcPr>
            <w:tcW w:type="dxa" w:w="1234"/>
          </w:tcPr>
          <w:p>
            <w:r>
              <w:rPr>
                <w:rFonts w:ascii="Calibri" w:hAnsi="Calibri"/>
                <w:sz w:val="22"/>
              </w:rPr>
              <w:t>Slightly below midpoint</w:t>
            </w:r>
          </w:p>
        </w:tc>
      </w:tr>
      <w:tr>
        <w:tc>
          <w:tcPr>
            <w:tcW w:type="dxa" w:w="1234"/>
          </w:tcPr>
          <w:p>
            <w:r>
              <w:rPr>
                <w:rFonts w:ascii="Calibri" w:hAnsi="Calibri"/>
                <w:sz w:val="22"/>
              </w:rPr>
              <w:t>Same-Store NOI ($M)</w:t>
            </w:r>
          </w:p>
        </w:tc>
        <w:tc>
          <w:tcPr>
            <w:tcW w:type="dxa" w:w="1234"/>
          </w:tcPr>
          <w:p>
            <w:r>
              <w:rPr>
                <w:rFonts w:ascii="Calibri" w:hAnsi="Calibri"/>
                <w:sz w:val="22"/>
              </w:rPr>
              <w:t>$739.4M</w:t>
            </w:r>
          </w:p>
        </w:tc>
        <w:tc>
          <w:tcPr>
            <w:tcW w:type="dxa" w:w="1234"/>
          </w:tcPr>
          <w:p>
            <w:r>
              <w:rPr>
                <w:rFonts w:ascii="Calibri" w:hAnsi="Calibri"/>
                <w:sz w:val="22"/>
              </w:rPr>
              <w:t>$716.6M</w:t>
            </w:r>
          </w:p>
        </w:tc>
        <w:tc>
          <w:tcPr>
            <w:tcW w:type="dxa" w:w="1234"/>
          </w:tcPr>
          <w:p>
            <w:r>
              <w:rPr>
                <w:rFonts w:ascii="Calibri" w:hAnsi="Calibri"/>
                <w:sz w:val="22"/>
              </w:rPr>
              <w:t>$754.0M</w:t>
            </w:r>
          </w:p>
        </w:tc>
        <w:tc>
          <w:tcPr>
            <w:tcW w:type="dxa" w:w="1234"/>
          </w:tcPr>
          <w:p>
            <w:r>
              <w:rPr>
                <w:rFonts w:ascii="Calibri" w:hAnsi="Calibri"/>
                <w:sz w:val="22"/>
              </w:rPr>
              <w:t>+5.2% (consensus)</w:t>
            </w:r>
          </w:p>
        </w:tc>
        <w:tc>
          <w:tcPr>
            <w:tcW w:type="dxa" w:w="1234"/>
          </w:tcPr>
          <w:p>
            <w:r>
              <w:rPr>
                <w:rFonts w:ascii="Calibri" w:hAnsi="Calibri"/>
                <w:sz w:val="22"/>
              </w:rPr>
              <w:t>FY SS NOI growth guided -0.56% to -0.53% (mid ~-0.55%)</w:t>
            </w:r>
          </w:p>
        </w:tc>
        <w:tc>
          <w:tcPr>
            <w:tcW w:type="dxa" w:w="1234"/>
          </w:tcPr>
          <w:p>
            <w:r>
              <w:rPr>
                <w:rFonts w:ascii="Calibri" w:hAnsi="Calibri"/>
                <w:sz w:val="22"/>
              </w:rPr>
              <w:t>Above FY guidance (consensus implies positive NOI growth)</w:t>
            </w:r>
          </w:p>
        </w:tc>
      </w:tr>
      <w:tr>
        <w:tc>
          <w:tcPr>
            <w:tcW w:type="dxa" w:w="1234"/>
          </w:tcPr>
          <w:p>
            <w:r>
              <w:rPr>
                <w:rFonts w:ascii="Calibri" w:hAnsi="Calibri"/>
                <w:sz w:val="22"/>
              </w:rPr>
              <w:t>Same-Store NOI Growth (%)</w:t>
            </w:r>
          </w:p>
        </w:tc>
        <w:tc>
          <w:tcPr>
            <w:tcW w:type="dxa" w:w="1234"/>
          </w:tcPr>
          <w:p>
            <w:r>
              <w:rPr>
                <w:rFonts w:ascii="Calibri" w:hAnsi="Calibri"/>
                <w:sz w:val="22"/>
              </w:rPr>
              <w:t>+0.37%</w:t>
            </w:r>
          </w:p>
        </w:tc>
        <w:tc>
          <w:tcPr>
            <w:tcW w:type="dxa" w:w="1234"/>
          </w:tcPr>
          <w:p>
            <w:r>
              <w:rPr>
                <w:rFonts w:ascii="Calibri" w:hAnsi="Calibri"/>
                <w:sz w:val="22"/>
              </w:rPr>
              <w:t>-0.6%</w:t>
            </w:r>
          </w:p>
        </w:tc>
        <w:tc>
          <w:tcPr>
            <w:tcW w:type="dxa" w:w="1234"/>
          </w:tcPr>
          <w:p>
            <w:r>
              <w:rPr>
                <w:rFonts w:ascii="Calibri" w:hAnsi="Calibri"/>
                <w:sz w:val="22"/>
              </w:rPr>
              <w:t>-1.60%</w:t>
            </w:r>
          </w:p>
        </w:tc>
        <w:tc>
          <w:tcPr>
            <w:tcW w:type="dxa" w:w="1234"/>
          </w:tcPr>
          <w:p>
            <w:r>
              <w:rPr>
                <w:rFonts w:ascii="Calibri" w:hAnsi="Calibri"/>
                <w:sz w:val="22"/>
              </w:rPr>
              <w:t>N/A</w:t>
            </w:r>
          </w:p>
        </w:tc>
        <w:tc>
          <w:tcPr>
            <w:tcW w:type="dxa" w:w="1234"/>
          </w:tcPr>
          <w:p>
            <w:r>
              <w:rPr>
                <w:rFonts w:ascii="Calibri" w:hAnsi="Calibri"/>
                <w:sz w:val="22"/>
              </w:rPr>
              <w:t>FY guided ~-0.55%</w:t>
            </w:r>
          </w:p>
        </w:tc>
        <w:tc>
          <w:tcPr>
            <w:tcW w:type="dxa" w:w="1234"/>
          </w:tcPr>
          <w:p>
            <w:r>
              <w:rPr>
                <w:rFonts w:ascii="Calibri" w:hAnsi="Calibri"/>
                <w:sz w:val="22"/>
              </w:rPr>
              <w:t>In-line with FY guidance</w:t>
            </w:r>
          </w:p>
        </w:tc>
      </w:tr>
      <w:tr>
        <w:tc>
          <w:tcPr>
            <w:tcW w:type="dxa" w:w="1234"/>
          </w:tcPr>
          <w:p>
            <w:r>
              <w:rPr>
                <w:rFonts w:ascii="Calibri" w:hAnsi="Calibri"/>
                <w:sz w:val="22"/>
              </w:rPr>
              <w:t>Same-Store Occupancy (%)</w:t>
            </w:r>
          </w:p>
        </w:tc>
        <w:tc>
          <w:tcPr>
            <w:tcW w:type="dxa" w:w="1234"/>
          </w:tcPr>
          <w:p>
            <w:r>
              <w:rPr>
                <w:rFonts w:ascii="Calibri" w:hAnsi="Calibri"/>
                <w:sz w:val="22"/>
              </w:rPr>
              <w:t>91.5%</w:t>
            </w:r>
          </w:p>
        </w:tc>
        <w:tc>
          <w:tcPr>
            <w:tcW w:type="dxa" w:w="1234"/>
          </w:tcPr>
          <w:p>
            <w:r>
              <w:rPr>
                <w:rFonts w:ascii="Calibri" w:hAnsi="Calibri"/>
                <w:sz w:val="22"/>
              </w:rPr>
              <w:t>92.3%</w:t>
            </w:r>
          </w:p>
        </w:tc>
        <w:tc>
          <w:tcPr>
            <w:tcW w:type="dxa" w:w="1234"/>
          </w:tcPr>
          <w:p>
            <w:r>
              <w:rPr>
                <w:rFonts w:ascii="Calibri" w:hAnsi="Calibri"/>
                <w:sz w:val="22"/>
              </w:rPr>
              <w:t>92.4%</w:t>
            </w:r>
          </w:p>
        </w:tc>
        <w:tc>
          <w:tcPr>
            <w:tcW w:type="dxa" w:w="1234"/>
          </w:tcPr>
          <w:p>
            <w:r>
              <w:rPr>
                <w:rFonts w:ascii="Calibri" w:hAnsi="Calibri"/>
                <w:sz w:val="22"/>
              </w:rPr>
              <w:t>+0.1pp (consensus)</w:t>
            </w:r>
          </w:p>
        </w:tc>
        <w:tc>
          <w:tcPr>
            <w:tcW w:type="dxa" w:w="1234"/>
          </w:tcPr>
          <w:p>
            <w:r>
              <w:rPr>
                <w:rFonts w:ascii="Calibri" w:hAnsi="Calibri"/>
                <w:sz w:val="22"/>
              </w:rPr>
              <w:t>N/A (no explicit guidance)</w:t>
            </w:r>
          </w:p>
        </w:tc>
        <w:tc>
          <w:tcPr>
            <w:tcW w:type="dxa" w:w="1234"/>
          </w:tcPr>
          <w:p>
            <w:r>
              <w:rPr>
                <w:rFonts w:ascii="Calibri" w:hAnsi="Calibri"/>
                <w:sz w:val="22"/>
              </w:rPr>
              <w:t>N/A</w:t>
            </w:r>
          </w:p>
        </w:tc>
      </w:tr>
      <w:tr>
        <w:tc>
          <w:tcPr>
            <w:tcW w:type="dxa" w:w="1234"/>
          </w:tcPr>
          <w:p>
            <w:r>
              <w:rPr>
                <w:rFonts w:ascii="Calibri" w:hAnsi="Calibri"/>
                <w:sz w:val="22"/>
              </w:rPr>
              <w:t>Non-Same-Store NOI ($M)</w:t>
            </w:r>
          </w:p>
        </w:tc>
        <w:tc>
          <w:tcPr>
            <w:tcW w:type="dxa" w:w="1234"/>
          </w:tcPr>
          <w:p>
            <w:r>
              <w:rPr>
                <w:rFonts w:ascii="Calibri" w:hAnsi="Calibri"/>
                <w:sz w:val="22"/>
              </w:rPr>
              <w:t>$83.0M</w:t>
            </w:r>
          </w:p>
        </w:tc>
        <w:tc>
          <w:tcPr>
            <w:tcW w:type="dxa" w:w="1234"/>
          </w:tcPr>
          <w:p>
            <w:r>
              <w:rPr>
                <w:rFonts w:ascii="Calibri" w:hAnsi="Calibri"/>
                <w:sz w:val="22"/>
              </w:rPr>
              <w:t>$117.4M</w:t>
            </w:r>
          </w:p>
        </w:tc>
        <w:tc>
          <w:tcPr>
            <w:tcW w:type="dxa" w:w="1234"/>
          </w:tcPr>
          <w:p>
            <w:r>
              <w:rPr>
                <w:rFonts w:ascii="Calibri" w:hAnsi="Calibri"/>
                <w:sz w:val="22"/>
              </w:rPr>
              <w:t>$85.3M</w:t>
            </w:r>
          </w:p>
        </w:tc>
        <w:tc>
          <w:tcPr>
            <w:tcW w:type="dxa" w:w="1234"/>
          </w:tcPr>
          <w:p>
            <w:r>
              <w:rPr>
                <w:rFonts w:ascii="Calibri" w:hAnsi="Calibri"/>
                <w:sz w:val="22"/>
              </w:rPr>
              <w:t>-27.3% (consensus)*</w:t>
            </w:r>
          </w:p>
        </w:tc>
        <w:tc>
          <w:tcPr>
            <w:tcW w:type="dxa" w:w="1234"/>
          </w:tcPr>
          <w:p>
            <w:r>
              <w:rPr>
                <w:rFonts w:ascii="Calibri" w:hAnsi="Calibri"/>
                <w:sz w:val="22"/>
              </w:rPr>
              <w:t>FY $340.6M consensus</w:t>
            </w:r>
          </w:p>
        </w:tc>
        <w:tc>
          <w:tcPr>
            <w:tcW w:type="dxa" w:w="1234"/>
          </w:tcPr>
          <w:p>
            <w:r>
              <w:rPr>
                <w:rFonts w:ascii="Calibri" w:hAnsi="Calibri"/>
                <w:sz w:val="22"/>
              </w:rPr>
              <w:t>N/A</w:t>
            </w:r>
          </w:p>
        </w:tc>
      </w:tr>
      <w:tr>
        <w:tc>
          <w:tcPr>
            <w:tcW w:type="dxa" w:w="1234"/>
          </w:tcPr>
          <w:p>
            <w:r>
              <w:rPr>
                <w:rFonts w:ascii="Calibri" w:hAnsi="Calibri"/>
                <w:sz w:val="22"/>
              </w:rPr>
              <w:t>Total Revenue ($M)</w:t>
            </w:r>
          </w:p>
        </w:tc>
        <w:tc>
          <w:tcPr>
            <w:tcW w:type="dxa" w:w="1234"/>
          </w:tcPr>
          <w:p>
            <w:r>
              <w:rPr>
                <w:rFonts w:ascii="Calibri" w:hAnsi="Calibri"/>
                <w:sz w:val="22"/>
              </w:rPr>
              <w:t>$1,217.7M</w:t>
            </w:r>
          </w:p>
        </w:tc>
        <w:tc>
          <w:tcPr>
            <w:tcW w:type="dxa" w:w="1234"/>
          </w:tcPr>
          <w:p>
            <w:r>
              <w:rPr>
                <w:rFonts w:ascii="Calibri" w:hAnsi="Calibri"/>
                <w:sz w:val="22"/>
              </w:rPr>
              <w:t>$1,201.1M</w:t>
            </w:r>
          </w:p>
        </w:tc>
        <w:tc>
          <w:tcPr>
            <w:tcW w:type="dxa" w:w="1234"/>
          </w:tcPr>
          <w:p>
            <w:r>
              <w:rPr>
                <w:rFonts w:ascii="Calibri" w:hAnsi="Calibri"/>
                <w:sz w:val="22"/>
              </w:rPr>
              <w:t>$1,226.1M</w:t>
            </w:r>
          </w:p>
        </w:tc>
        <w:tc>
          <w:tcPr>
            <w:tcW w:type="dxa" w:w="1234"/>
          </w:tcPr>
          <w:p>
            <w:r>
              <w:rPr>
                <w:rFonts w:ascii="Calibri" w:hAnsi="Calibri"/>
                <w:sz w:val="22"/>
              </w:rPr>
              <w:t>+2.1% (consensus)</w:t>
            </w:r>
          </w:p>
        </w:tc>
        <w:tc>
          <w:tcPr>
            <w:tcW w:type="dxa" w:w="1234"/>
          </w:tcPr>
          <w:p>
            <w:r>
              <w:rPr>
                <w:rFonts w:ascii="Calibri" w:hAnsi="Calibri"/>
                <w:sz w:val="22"/>
              </w:rPr>
              <w:t>FY $4,972.2M consensus</w:t>
            </w:r>
          </w:p>
        </w:tc>
        <w:tc>
          <w:tcPr>
            <w:tcW w:type="dxa" w:w="1234"/>
          </w:tcPr>
          <w:p>
            <w:r>
              <w:rPr>
                <w:rFonts w:ascii="Calibri" w:hAnsi="Calibri"/>
                <w:sz w:val="22"/>
              </w:rPr>
              <w:t>N/A</w:t>
            </w:r>
          </w:p>
        </w:tc>
      </w:tr>
    </w:tbl>
    <w:p>
      <w:r>
        <w:rPr>
          <w:rFonts w:ascii="Calibri" w:hAnsi="Calibri"/>
          <w:i/>
          <w:color w:val="525866"/>
          <w:sz w:val="22"/>
        </w:rPr>
        <w:t xml:space="preserve">* Non-same-store NOI consensus for Q2 2026 ($85.3M) does </w:t>
      </w:r>
      <w:r>
        <w:rPr>
          <w:rFonts w:ascii="Calibri" w:hAnsi="Calibri"/>
          <w:b/>
          <w:i/>
          <w:color w:val="525866"/>
          <w:sz w:val="22"/>
        </w:rPr>
        <w:t>not</w:t>
      </w:r>
      <w:r>
        <w:rPr>
          <w:rFonts w:ascii="Calibri" w:hAnsi="Calibri"/>
          <w:i/>
          <w:color w:val="525866"/>
          <w:sz w:val="22"/>
        </w:rPr>
        <w:t xml:space="preserve"> include NSA contribution — the deal closed July 22, after Q2 end (June 30). NSA will be a Q3 2026 income statement event.</w:t>
      </w:r>
    </w:p>
    <w:p>
      <w:r>
        <w:rPr>
          <w:rFonts w:ascii="Calibri" w:hAnsi="Calibri"/>
          <w:color w:val="525866"/>
          <w:sz w:val="22"/>
        </w:rPr>
        <w:t>Source: Visible Alpha Consensus and Actuals Data</w:t>
      </w:r>
    </w:p>
    <w:p>
      <w:pPr>
        <w:pStyle w:val="Heading2"/>
      </w:pPr>
      <w:r>
        <w:rPr>
          <w:rFonts w:ascii="Calibri" w:hAnsi="Calibri"/>
          <w:b/>
          <w:color w:val="3B4259"/>
          <w:sz w:val="28"/>
        </w:rPr>
        <w:t>Table 2 — Beat/Miss History (Last 8 Quarters)</w:t>
      </w:r>
    </w:p>
    <w:p>
      <w:pPr>
        <w:pStyle w:val="Heading3"/>
      </w:pPr>
      <w:r>
        <w:rPr>
          <w:rFonts w:ascii="Calibri" w:hAnsi="Calibri"/>
          <w:b/>
          <w:color w:val="3B4259"/>
          <w:sz w:val="24"/>
        </w:rPr>
        <w:t>Core FFO per Share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$4.23</w:t>
            </w:r>
          </w:p>
        </w:tc>
        <w:tc>
          <w:tcPr>
            <w:tcW w:type="dxa" w:w="1728"/>
          </w:tcPr>
          <w:p>
            <w:r>
              <w:rPr>
                <w:rFonts w:ascii="Calibri" w:hAnsi="Calibri"/>
                <w:sz w:val="22"/>
              </w:rPr>
              <w:t>$4.22</w:t>
            </w:r>
          </w:p>
        </w:tc>
        <w:tc>
          <w:tcPr>
            <w:tcW w:type="dxa" w:w="1728"/>
          </w:tcPr>
          <w:p>
            <w:r>
              <w:rPr>
                <w:rFonts w:ascii="Calibri" w:hAnsi="Calibri"/>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$4.20</w:t>
            </w:r>
          </w:p>
        </w:tc>
        <w:tc>
          <w:tcPr>
            <w:tcW w:type="dxa" w:w="1728"/>
          </w:tcPr>
          <w:p>
            <w:r>
              <w:rPr>
                <w:rFonts w:ascii="Calibri" w:hAnsi="Calibri"/>
                <w:sz w:val="22"/>
              </w:rPr>
              <w:t>$4.25</w:t>
            </w:r>
          </w:p>
        </w:tc>
        <w:tc>
          <w:tcPr>
            <w:tcW w:type="dxa" w:w="1728"/>
          </w:tcPr>
          <w:p>
            <w:r>
              <w:rPr>
                <w:rFonts w:ascii="Calibri" w:hAnsi="Calibri"/>
                <w:sz w:val="22"/>
              </w:rPr>
              <w:t>-1.2%</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$4.21</w:t>
            </w:r>
          </w:p>
        </w:tc>
        <w:tc>
          <w:tcPr>
            <w:tcW w:type="dxa" w:w="1728"/>
          </w:tcPr>
          <w:p>
            <w:r>
              <w:rPr>
                <w:rFonts w:ascii="Calibri" w:hAnsi="Calibri"/>
                <w:sz w:val="22"/>
              </w:rPr>
              <w:t>$4.24</w:t>
            </w:r>
          </w:p>
        </w:tc>
        <w:tc>
          <w:tcPr>
            <w:tcW w:type="dxa" w:w="1728"/>
          </w:tcPr>
          <w:p>
            <w:r>
              <w:rPr>
                <w:rFonts w:ascii="Calibri" w:hAnsi="Calibri"/>
                <w:sz w:val="22"/>
              </w:rPr>
              <w:t>-0.7%</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$4.12</w:t>
            </w:r>
          </w:p>
        </w:tc>
        <w:tc>
          <w:tcPr>
            <w:tcW w:type="dxa" w:w="1728"/>
          </w:tcPr>
          <w:p>
            <w:r>
              <w:rPr>
                <w:rFonts w:ascii="Calibri" w:hAnsi="Calibri"/>
                <w:sz w:val="22"/>
              </w:rPr>
              <w:t>$4.06</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$4.28</w:t>
            </w:r>
          </w:p>
        </w:tc>
        <w:tc>
          <w:tcPr>
            <w:tcW w:type="dxa" w:w="1728"/>
          </w:tcPr>
          <w:p>
            <w:r>
              <w:rPr>
                <w:rFonts w:ascii="Calibri" w:hAnsi="Calibri"/>
                <w:sz w:val="22"/>
              </w:rPr>
              <w:t>$4.25</w:t>
            </w:r>
          </w:p>
        </w:tc>
        <w:tc>
          <w:tcPr>
            <w:tcW w:type="dxa" w:w="1728"/>
          </w:tcPr>
          <w:p>
            <w:r>
              <w:rPr>
                <w:rFonts w:ascii="Calibri" w:hAnsi="Calibri"/>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$4.31</w:t>
            </w:r>
          </w:p>
        </w:tc>
        <w:tc>
          <w:tcPr>
            <w:tcW w:type="dxa" w:w="1728"/>
          </w:tcPr>
          <w:p>
            <w:r>
              <w:rPr>
                <w:rFonts w:ascii="Calibri" w:hAnsi="Calibri"/>
                <w:sz w:val="22"/>
              </w:rPr>
              <w:t>$4.24</w:t>
            </w:r>
          </w:p>
        </w:tc>
        <w:tc>
          <w:tcPr>
            <w:tcW w:type="dxa" w:w="1728"/>
          </w:tcPr>
          <w:p>
            <w:r>
              <w:rPr>
                <w:rFonts w:ascii="Calibri" w:hAnsi="Calibri"/>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$4.26</w:t>
            </w:r>
          </w:p>
        </w:tc>
        <w:tc>
          <w:tcPr>
            <w:tcW w:type="dxa" w:w="1728"/>
          </w:tcPr>
          <w:p>
            <w:r>
              <w:rPr>
                <w:rFonts w:ascii="Calibri" w:hAnsi="Calibri"/>
                <w:sz w:val="22"/>
              </w:rPr>
              <w:t>$4.21</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$4.22</w:t>
            </w:r>
          </w:p>
        </w:tc>
        <w:tc>
          <w:tcPr>
            <w:tcW w:type="dxa" w:w="1728"/>
          </w:tcPr>
          <w:p>
            <w:r>
              <w:rPr>
                <w:rFonts w:ascii="Calibri" w:hAnsi="Calibri"/>
                <w:sz w:val="22"/>
              </w:rPr>
              <w:t>$4.12</w:t>
            </w:r>
          </w:p>
        </w:tc>
        <w:tc>
          <w:tcPr>
            <w:tcW w:type="dxa" w:w="1728"/>
          </w:tcPr>
          <w:p>
            <w:r>
              <w:rPr>
                <w:rFonts w:ascii="Calibri" w:hAnsi="Calibri"/>
                <w:sz w:val="22"/>
              </w:rPr>
              <w:t>+2.4%</w:t>
            </w:r>
          </w:p>
        </w:tc>
        <w:tc>
          <w:tcPr>
            <w:tcW w:type="dxa" w:w="1728"/>
          </w:tcPr>
          <w:p>
            <w:r>
              <w:rPr>
                <w:rFonts w:ascii="Calibri" w:hAnsi="Calibri"/>
                <w:b/>
                <w:color w:val="30A46C"/>
                <w:sz w:val="22"/>
              </w:rPr>
              <w:t>Beat</w:t>
            </w:r>
          </w:p>
        </w:tc>
      </w:tr>
    </w:tbl>
    <w:p>
      <w:pPr>
        <w:pStyle w:val="Heading3"/>
      </w:pPr>
      <w:r>
        <w:rPr>
          <w:rFonts w:ascii="Calibri" w:hAnsi="Calibri"/>
          <w:b/>
          <w:color w:val="3B4259"/>
          <w:sz w:val="24"/>
        </w:rPr>
        <w:t>Same-Store Revenue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-1.0%</w:t>
            </w:r>
          </w:p>
        </w:tc>
        <w:tc>
          <w:tcPr>
            <w:tcW w:type="dxa" w:w="1728"/>
          </w:tcPr>
          <w:p>
            <w:r>
              <w:rPr>
                <w:rFonts w:ascii="Calibri" w:hAnsi="Calibri"/>
                <w:sz w:val="22"/>
              </w:rPr>
              <w:t>-1.2%</w:t>
            </w:r>
          </w:p>
        </w:tc>
        <w:tc>
          <w:tcPr>
            <w:tcW w:type="dxa" w:w="1728"/>
          </w:tcPr>
          <w:p>
            <w:r>
              <w:rPr>
                <w:rFonts w:ascii="Calibri" w:hAnsi="Calibri"/>
                <w:sz w:val="22"/>
              </w:rPr>
              <w:t>+0.2pp</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-1.3%</w:t>
            </w:r>
          </w:p>
        </w:tc>
        <w:tc>
          <w:tcPr>
            <w:tcW w:type="dxa" w:w="1728"/>
          </w:tcPr>
          <w:p>
            <w:r>
              <w:rPr>
                <w:rFonts w:ascii="Calibri" w:hAnsi="Calibri"/>
                <w:sz w:val="22"/>
              </w:rPr>
              <w:t>-1.6%</w:t>
            </w:r>
          </w:p>
        </w:tc>
        <w:tc>
          <w:tcPr>
            <w:tcW w:type="dxa" w:w="1728"/>
          </w:tcPr>
          <w:p>
            <w:r>
              <w:rPr>
                <w:rFonts w:ascii="Calibri" w:hAnsi="Calibri"/>
                <w:sz w:val="22"/>
              </w:rPr>
              <w:t>+0.3pp</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-0.6%</w:t>
            </w:r>
          </w:p>
        </w:tc>
        <w:tc>
          <w:tcPr>
            <w:tcW w:type="dxa" w:w="1728"/>
          </w:tcPr>
          <w:p>
            <w:r>
              <w:rPr>
                <w:rFonts w:ascii="Calibri" w:hAnsi="Calibri"/>
                <w:sz w:val="22"/>
              </w:rPr>
              <w:t>-1.3%</w:t>
            </w:r>
          </w:p>
        </w:tc>
        <w:tc>
          <w:tcPr>
            <w:tcW w:type="dxa" w:w="1728"/>
          </w:tcPr>
          <w:p>
            <w:r>
              <w:rPr>
                <w:rFonts w:ascii="Calibri" w:hAnsi="Calibri"/>
                <w:sz w:val="22"/>
              </w:rPr>
              <w:t>+0.7pp</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+0.06%</w:t>
            </w:r>
          </w:p>
        </w:tc>
        <w:tc>
          <w:tcPr>
            <w:tcW w:type="dxa" w:w="1728"/>
          </w:tcPr>
          <w:p>
            <w:r>
              <w:rPr>
                <w:rFonts w:ascii="Calibri" w:hAnsi="Calibri"/>
                <w:sz w:val="22"/>
              </w:rPr>
              <w:t>-0.79%</w:t>
            </w:r>
          </w:p>
        </w:tc>
        <w:tc>
          <w:tcPr>
            <w:tcW w:type="dxa" w:w="1728"/>
          </w:tcPr>
          <w:p>
            <w:r>
              <w:rPr>
                <w:rFonts w:ascii="Calibri" w:hAnsi="Calibri"/>
                <w:sz w:val="22"/>
              </w:rPr>
              <w:t>+0.85pp</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+0.2%</w:t>
            </w:r>
          </w:p>
        </w:tc>
        <w:tc>
          <w:tcPr>
            <w:tcW w:type="dxa" w:w="1728"/>
          </w:tcPr>
          <w:p>
            <w:r>
              <w:rPr>
                <w:rFonts w:ascii="Calibri" w:hAnsi="Calibri"/>
                <w:sz w:val="22"/>
              </w:rPr>
              <w:t>-0.28%</w:t>
            </w:r>
          </w:p>
        </w:tc>
        <w:tc>
          <w:tcPr>
            <w:tcW w:type="dxa" w:w="1728"/>
          </w:tcPr>
          <w:p>
            <w:r>
              <w:rPr>
                <w:rFonts w:ascii="Calibri" w:hAnsi="Calibri"/>
                <w:sz w:val="22"/>
              </w:rPr>
              <w:t>+0.48pp</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+0.02%</w:t>
            </w:r>
          </w:p>
        </w:tc>
        <w:tc>
          <w:tcPr>
            <w:tcW w:type="dxa" w:w="1728"/>
          </w:tcPr>
          <w:p>
            <w:r>
              <w:rPr>
                <w:rFonts w:ascii="Calibri" w:hAnsi="Calibri"/>
                <w:sz w:val="22"/>
              </w:rPr>
              <w:t>-0.51%</w:t>
            </w:r>
          </w:p>
        </w:tc>
        <w:tc>
          <w:tcPr>
            <w:tcW w:type="dxa" w:w="1728"/>
          </w:tcPr>
          <w:p>
            <w:r>
              <w:rPr>
                <w:rFonts w:ascii="Calibri" w:hAnsi="Calibri"/>
                <w:sz w:val="22"/>
              </w:rPr>
              <w:t>+0.53pp</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-0.2%</w:t>
            </w:r>
          </w:p>
        </w:tc>
        <w:tc>
          <w:tcPr>
            <w:tcW w:type="dxa" w:w="1728"/>
          </w:tcPr>
          <w:p>
            <w:r>
              <w:rPr>
                <w:rFonts w:ascii="Calibri" w:hAnsi="Calibri"/>
                <w:sz w:val="22"/>
              </w:rPr>
              <w:t>-0.35%</w:t>
            </w:r>
          </w:p>
        </w:tc>
        <w:tc>
          <w:tcPr>
            <w:tcW w:type="dxa" w:w="1728"/>
          </w:tcPr>
          <w:p>
            <w:r>
              <w:rPr>
                <w:rFonts w:ascii="Calibri" w:hAnsi="Calibri"/>
                <w:sz w:val="22"/>
              </w:rPr>
              <w:t>+0.15pp</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-0.02%</w:t>
            </w:r>
          </w:p>
        </w:tc>
        <w:tc>
          <w:tcPr>
            <w:tcW w:type="dxa" w:w="1728"/>
          </w:tcPr>
          <w:p>
            <w:r>
              <w:rPr>
                <w:rFonts w:ascii="Calibri" w:hAnsi="Calibri"/>
                <w:sz w:val="22"/>
              </w:rPr>
              <w:t>-0.08%</w:t>
            </w:r>
          </w:p>
        </w:tc>
        <w:tc>
          <w:tcPr>
            <w:tcW w:type="dxa" w:w="1728"/>
          </w:tcPr>
          <w:p>
            <w:r>
              <w:rPr>
                <w:rFonts w:ascii="Calibri" w:hAnsi="Calibri"/>
                <w:sz w:val="22"/>
              </w:rPr>
              <w:t>+0.06pp</w:t>
            </w:r>
          </w:p>
        </w:tc>
        <w:tc>
          <w:tcPr>
            <w:tcW w:type="dxa" w:w="1728"/>
          </w:tcPr>
          <w:p>
            <w:r>
              <w:rPr>
                <w:rFonts w:ascii="Calibri" w:hAnsi="Calibri"/>
                <w:b/>
                <w:color w:val="30A46C"/>
                <w:sz w:val="22"/>
              </w:rPr>
              <w:t>Beat</w:t>
            </w:r>
          </w:p>
        </w:tc>
      </w:tr>
    </w:tbl>
    <w:p>
      <w:r>
        <w:rPr>
          <w:rFonts w:ascii="Calibri" w:hAnsi="Calibri"/>
          <w:i/>
          <w:color w:val="525866"/>
          <w:sz w:val="22"/>
        </w:rPr>
        <w:t xml:space="preserve">PSA has beaten Core FFO consensus in 6 of the last 8 quarters and has consistently beaten same-store revenue growth expectations in </w:t>
      </w:r>
      <w:r>
        <w:rPr>
          <w:rFonts w:ascii="Calibri" w:hAnsi="Calibri"/>
          <w:b/>
          <w:i/>
          <w:color w:val="525866"/>
          <w:sz w:val="22"/>
        </w:rPr>
        <w:t>all 8 quarters</w:t>
      </w:r>
      <w:r>
        <w:rPr>
          <w:rFonts w:ascii="Calibri" w:hAnsi="Calibri"/>
          <w:i/>
          <w:color w:val="525866"/>
          <w:sz w:val="22"/>
        </w:rPr>
        <w:t>, suggesting consensus tends to be set conservatively — a pattern that favors the bull case heading into Q2 2026.</w:t>
      </w:r>
    </w:p>
    <w:p>
      <w:r>
        <w:rPr>
          <w:rFonts w:ascii="Calibri" w:hAnsi="Calibr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guidance was reaffirmed at Q1 2026 earnings despite a beat, with management citing </w:t>
      </w:r>
      <w:r>
        <w:rPr>
          <w:rFonts w:ascii="Calibri" w:hAnsi="Calibri"/>
          <w:b/>
          <w:color w:val="525866"/>
          <w:sz w:val="22"/>
        </w:rPr>
        <w:t>busy season uncertainty and the pending NSA closing</w:t>
      </w:r>
      <w:r>
        <w:rPr>
          <w:rFonts w:ascii="Calibri" w:hAnsi="Calibri"/>
          <w:color w:val="525866"/>
          <w:sz w:val="22"/>
        </w:rPr>
        <w:t xml:space="preserve"> as reasons for caution; no post-earnings guidance revision has been disclosed, leaving consensus above the guidance midpoint on Core FFO and at the low end on same-store revenue growth.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27)</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Core FFO per Share (FY 2026)</w:t>
            </w:r>
          </w:p>
        </w:tc>
        <w:tc>
          <w:tcPr>
            <w:tcW w:type="dxa" w:w="1728"/>
          </w:tcPr>
          <w:p>
            <w:r>
              <w:rPr>
                <w:rFonts w:ascii="Calibri" w:hAnsi="Calibri"/>
                <w:sz w:val="22"/>
              </w:rPr>
              <w:t>$16.50–$17.00 (midpoint $16.75)</w:t>
            </w:r>
          </w:p>
        </w:tc>
        <w:tc>
          <w:tcPr>
            <w:tcW w:type="dxa" w:w="1728"/>
          </w:tcPr>
          <w:p>
            <w:r>
              <w:rPr>
                <w:rFonts w:ascii="Calibri" w:hAnsi="Calibri"/>
                <w:sz w:val="22"/>
              </w:rPr>
              <w:t>—</w:t>
            </w:r>
          </w:p>
        </w:tc>
        <w:tc>
          <w:tcPr>
            <w:tcW w:type="dxa" w:w="1728"/>
          </w:tcPr>
          <w:p>
            <w:r>
              <w:rPr>
                <w:rFonts w:ascii="Calibri" w:hAnsi="Calibri"/>
                <w:sz w:val="22"/>
              </w:rPr>
              <w:t>$16.94</w:t>
            </w:r>
          </w:p>
        </w:tc>
        <w:tc>
          <w:tcPr>
            <w:tcW w:type="dxa" w:w="1728"/>
          </w:tcPr>
          <w:p>
            <w:r>
              <w:rPr>
                <w:rFonts w:ascii="Calibri" w:hAnsi="Calibri"/>
                <w:sz w:val="22"/>
              </w:rPr>
              <w:t>Reaffirmed; consensus sits above midpoint, implying market expects a raise post busy season</w:t>
            </w:r>
          </w:p>
        </w:tc>
      </w:tr>
      <w:tr>
        <w:tc>
          <w:tcPr>
            <w:tcW w:type="dxa" w:w="1728"/>
          </w:tcPr>
          <w:p>
            <w:r>
              <w:rPr>
                <w:rFonts w:ascii="Calibri" w:hAnsi="Calibri"/>
                <w:sz w:val="22"/>
              </w:rPr>
              <w:t>Same-Store Revenue Growth (FY 2026)</w:t>
            </w:r>
          </w:p>
        </w:tc>
        <w:tc>
          <w:tcPr>
            <w:tcW w:type="dxa" w:w="1728"/>
          </w:tcPr>
          <w:p>
            <w:r>
              <w:rPr>
                <w:rFonts w:ascii="Calibri" w:hAnsi="Calibri"/>
                <w:sz w:val="22"/>
              </w:rPr>
              <w:t>-0.15% to +0.24% (midpoint ~flat)</w:t>
            </w:r>
          </w:p>
        </w:tc>
        <w:tc>
          <w:tcPr>
            <w:tcW w:type="dxa" w:w="1728"/>
          </w:tcPr>
          <w:p>
            <w:r>
              <w:rPr>
                <w:rFonts w:ascii="Calibri" w:hAnsi="Calibri"/>
                <w:sz w:val="22"/>
              </w:rPr>
              <w:t>—</w:t>
            </w:r>
          </w:p>
        </w:tc>
        <w:tc>
          <w:tcPr>
            <w:tcW w:type="dxa" w:w="1728"/>
          </w:tcPr>
          <w:p>
            <w:r>
              <w:rPr>
                <w:rFonts w:ascii="Calibri" w:hAnsi="Calibri"/>
                <w:sz w:val="22"/>
              </w:rPr>
              <w:t>-0.15%</w:t>
            </w:r>
          </w:p>
        </w:tc>
        <w:tc>
          <w:tcPr>
            <w:tcW w:type="dxa" w:w="1728"/>
          </w:tcPr>
          <w:p>
            <w:r>
              <w:rPr>
                <w:rFonts w:ascii="Calibri" w:hAnsi="Calibri"/>
                <w:sz w:val="22"/>
              </w:rPr>
              <w:t>Consensus at low end of guidance range; LA headwind and busy season uncertainty cited</w:t>
            </w:r>
          </w:p>
        </w:tc>
      </w:tr>
      <w:tr>
        <w:tc>
          <w:tcPr>
            <w:tcW w:type="dxa" w:w="1728"/>
          </w:tcPr>
          <w:p>
            <w:r>
              <w:rPr>
                <w:rFonts w:ascii="Calibri" w:hAnsi="Calibri"/>
                <w:sz w:val="22"/>
              </w:rPr>
              <w:t>Same-Store NOI Growth (FY 2026)</w:t>
            </w:r>
          </w:p>
        </w:tc>
        <w:tc>
          <w:tcPr>
            <w:tcW w:type="dxa" w:w="1728"/>
          </w:tcPr>
          <w:p>
            <w:r>
              <w:rPr>
                <w:rFonts w:ascii="Calibri" w:hAnsi="Calibri"/>
                <w:sz w:val="22"/>
              </w:rPr>
              <w:t>-0.56% to -0.53% (midpoint ~-0.55%)</w:t>
            </w:r>
          </w:p>
        </w:tc>
        <w:tc>
          <w:tcPr>
            <w:tcW w:type="dxa" w:w="1728"/>
          </w:tcPr>
          <w:p>
            <w:r>
              <w:rPr>
                <w:rFonts w:ascii="Calibri" w:hAnsi="Calibri"/>
                <w:sz w:val="22"/>
              </w:rPr>
              <w:t>—</w:t>
            </w:r>
          </w:p>
        </w:tc>
        <w:tc>
          <w:tcPr>
            <w:tcW w:type="dxa" w:w="1728"/>
          </w:tcPr>
          <w:p>
            <w:r>
              <w:rPr>
                <w:rFonts w:ascii="Calibri" w:hAnsi="Calibri"/>
                <w:sz w:val="22"/>
              </w:rPr>
              <w:t>-0.56%</w:t>
            </w:r>
          </w:p>
        </w:tc>
        <w:tc>
          <w:tcPr>
            <w:tcW w:type="dxa" w:w="1728"/>
          </w:tcPr>
          <w:p>
            <w:r>
              <w:rPr>
                <w:rFonts w:ascii="Calibri" w:hAnsi="Calibri"/>
                <w:sz w:val="22"/>
              </w:rPr>
              <w:t>Consensus at low end; expense discipline has been a positive offset</w:t>
            </w:r>
          </w:p>
        </w:tc>
      </w:tr>
      <w:tr>
        <w:tc>
          <w:tcPr>
            <w:tcW w:type="dxa" w:w="1728"/>
          </w:tcPr>
          <w:p>
            <w:r>
              <w:rPr>
                <w:rFonts w:ascii="Calibri" w:hAnsi="Calibri"/>
                <w:sz w:val="22"/>
              </w:rPr>
              <w:t>Same-Store Expenses Growth (FY 2026)</w:t>
            </w:r>
          </w:p>
        </w:tc>
        <w:tc>
          <w:tcPr>
            <w:tcW w:type="dxa" w:w="1728"/>
          </w:tcPr>
          <w:p>
            <w:r>
              <w:rPr>
                <w:rFonts w:ascii="Calibri" w:hAnsi="Calibri"/>
                <w:sz w:val="22"/>
              </w:rPr>
              <w:t>~2.0%–2.5% (implied)</w:t>
            </w:r>
          </w:p>
        </w:tc>
        <w:tc>
          <w:tcPr>
            <w:tcW w:type="dxa" w:w="1728"/>
          </w:tcPr>
          <w:p>
            <w:r>
              <w:rPr>
                <w:rFonts w:ascii="Calibri" w:hAnsi="Calibri"/>
                <w:sz w:val="22"/>
              </w:rPr>
              <w:t>—</w:t>
            </w:r>
          </w:p>
        </w:tc>
        <w:tc>
          <w:tcPr>
            <w:tcW w:type="dxa" w:w="1728"/>
          </w:tcPr>
          <w:p>
            <w:r>
              <w:rPr>
                <w:rFonts w:ascii="Calibri" w:hAnsi="Calibri"/>
                <w:sz w:val="22"/>
              </w:rPr>
              <w:t>2.04%</w:t>
            </w:r>
          </w:p>
        </w:tc>
        <w:tc>
          <w:tcPr>
            <w:tcW w:type="dxa" w:w="1728"/>
          </w:tcPr>
          <w:p>
            <w:r>
              <w:rPr>
                <w:rFonts w:ascii="Calibri" w:hAnsi="Calibri"/>
                <w:sz w:val="22"/>
              </w:rPr>
              <w:t>In-line; property tax wins and payroll declines have been favorable</w:t>
            </w:r>
          </w:p>
        </w:tc>
      </w:tr>
      <w:tr>
        <w:tc>
          <w:tcPr>
            <w:tcW w:type="dxa" w:w="1728"/>
          </w:tcPr>
          <w:p>
            <w:r>
              <w:rPr>
                <w:rFonts w:ascii="Calibri" w:hAnsi="Calibri"/>
                <w:sz w:val="22"/>
              </w:rPr>
              <w:t>Non-Same-Store NOI (FY 2026)</w:t>
            </w:r>
          </w:p>
        </w:tc>
        <w:tc>
          <w:tcPr>
            <w:tcW w:type="dxa" w:w="1728"/>
          </w:tcPr>
          <w:p>
            <w:r>
              <w:rPr>
                <w:rFonts w:ascii="Calibri" w:hAnsi="Calibri"/>
                <w:sz w:val="22"/>
              </w:rPr>
              <w:t>Not explicitly guided</w:t>
            </w:r>
          </w:p>
        </w:tc>
        <w:tc>
          <w:tcPr>
            <w:tcW w:type="dxa" w:w="1728"/>
          </w:tcPr>
          <w:p>
            <w:r>
              <w:rPr>
                <w:rFonts w:ascii="Calibri" w:hAnsi="Calibri"/>
                <w:sz w:val="22"/>
              </w:rPr>
              <w:t>—</w:t>
            </w:r>
          </w:p>
        </w:tc>
        <w:tc>
          <w:tcPr>
            <w:tcW w:type="dxa" w:w="1728"/>
          </w:tcPr>
          <w:p>
            <w:r>
              <w:rPr>
                <w:rFonts w:ascii="Calibri" w:hAnsi="Calibri"/>
                <w:sz w:val="22"/>
              </w:rPr>
              <w:t>$340.6M</w:t>
            </w:r>
          </w:p>
        </w:tc>
        <w:tc>
          <w:tcPr>
            <w:tcW w:type="dxa" w:w="1728"/>
          </w:tcPr>
          <w:p>
            <w:r>
              <w:rPr>
                <w:rFonts w:ascii="Calibri" w:hAnsi="Calibri"/>
                <w:sz w:val="22"/>
              </w:rPr>
              <w:t>Significant step-up expected as NSA integrates in H2 2026; Q3+ income statement event</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Core FFO estimates for Q2 2026 have been essentially flat since Q1 earnings (from $4.26 to $4.25), while </w:t>
      </w:r>
      <w:r>
        <w:rPr>
          <w:rFonts w:ascii="Calibri" w:hAnsi="Calibri"/>
          <w:b/>
          <w:color w:val="525866"/>
          <w:sz w:val="22"/>
        </w:rPr>
        <w:t>same-store revenue growth estimates have drifted lower</w:t>
      </w:r>
      <w:r>
        <w:rPr>
          <w:rFonts w:ascii="Calibri" w:hAnsi="Calibri"/>
          <w:color w:val="525866"/>
          <w:sz w:val="22"/>
        </w:rPr>
        <w:t xml:space="preserve"> (-65bps for Q2 2026), suggesting the market is waiting for busy season confirmation before revising higher.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2,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Core FFO/Share (Q2 2026)</w:t>
            </w:r>
          </w:p>
        </w:tc>
        <w:tc>
          <w:tcPr>
            <w:tcW w:type="dxa" w:w="1080"/>
          </w:tcPr>
          <w:p>
            <w:r>
              <w:rPr>
                <w:rFonts w:ascii="Calibri" w:hAnsi="Calibri"/>
                <w:sz w:val="22"/>
              </w:rPr>
              <w:t>$4.26</w:t>
            </w:r>
          </w:p>
        </w:tc>
        <w:tc>
          <w:tcPr>
            <w:tcW w:type="dxa" w:w="1080"/>
          </w:tcPr>
          <w:p>
            <w:r>
              <w:rPr>
                <w:rFonts w:ascii="Calibri" w:hAnsi="Calibri"/>
                <w:sz w:val="22"/>
              </w:rPr>
              <w:t>$4.25</w:t>
            </w:r>
          </w:p>
        </w:tc>
        <w:tc>
          <w:tcPr>
            <w:tcW w:type="dxa" w:w="1080"/>
          </w:tcPr>
          <w:p>
            <w:r>
              <w:rPr>
                <w:rFonts w:ascii="Calibri" w:hAnsi="Calibri"/>
                <w:sz w:val="22"/>
              </w:rPr>
              <w:t>-0.2%</w:t>
            </w:r>
          </w:p>
        </w:tc>
        <w:tc>
          <w:tcPr>
            <w:tcW w:type="dxa" w:w="1080"/>
          </w:tcPr>
          <w:p>
            <w:r>
              <w:rPr>
                <w:rFonts w:ascii="Calibri" w:hAnsi="Calibri"/>
                <w:sz w:val="22"/>
              </w:rPr>
              <w:t>~$4.19 implied (FY mid / 4)</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+1.4% above implied quarterly guidance</w:t>
            </w:r>
          </w:p>
        </w:tc>
      </w:tr>
      <w:tr>
        <w:tc>
          <w:tcPr>
            <w:tcW w:type="dxa" w:w="1080"/>
          </w:tcPr>
          <w:p>
            <w:r>
              <w:rPr>
                <w:rFonts w:ascii="Calibri" w:hAnsi="Calibri"/>
                <w:sz w:val="22"/>
              </w:rPr>
              <w:t>Core FFO/Share (FY 2026)</w:t>
            </w:r>
          </w:p>
        </w:tc>
        <w:tc>
          <w:tcPr>
            <w:tcW w:type="dxa" w:w="1080"/>
          </w:tcPr>
          <w:p>
            <w:r>
              <w:rPr>
                <w:rFonts w:ascii="Calibri" w:hAnsi="Calibri"/>
                <w:sz w:val="22"/>
              </w:rPr>
              <w:t>$16.93</w:t>
            </w:r>
          </w:p>
        </w:tc>
        <w:tc>
          <w:tcPr>
            <w:tcW w:type="dxa" w:w="1080"/>
          </w:tcPr>
          <w:p>
            <w:r>
              <w:rPr>
                <w:rFonts w:ascii="Calibri" w:hAnsi="Calibri"/>
                <w:sz w:val="22"/>
              </w:rPr>
              <w:t>$16.94</w:t>
            </w:r>
          </w:p>
        </w:tc>
        <w:tc>
          <w:tcPr>
            <w:tcW w:type="dxa" w:w="1080"/>
          </w:tcPr>
          <w:p>
            <w:r>
              <w:rPr>
                <w:rFonts w:ascii="Calibri" w:hAnsi="Calibri"/>
                <w:sz w:val="22"/>
              </w:rPr>
              <w:t>+0.1%</w:t>
            </w:r>
          </w:p>
        </w:tc>
        <w:tc>
          <w:tcPr>
            <w:tcW w:type="dxa" w:w="1080"/>
          </w:tcPr>
          <w:p>
            <w:r>
              <w:rPr>
                <w:rFonts w:ascii="Calibri" w:hAnsi="Calibri"/>
                <w:sz w:val="22"/>
              </w:rPr>
              <w:t>$16.50–$17.00</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+1.1% above midpoint</w:t>
            </w:r>
          </w:p>
        </w:tc>
      </w:tr>
      <w:tr>
        <w:tc>
          <w:tcPr>
            <w:tcW w:type="dxa" w:w="1080"/>
          </w:tcPr>
          <w:p>
            <w:r>
              <w:rPr>
                <w:rFonts w:ascii="Calibri" w:hAnsi="Calibri"/>
                <w:sz w:val="22"/>
              </w:rPr>
              <w:t>SS Revenue Growth (Q2 2026)</w:t>
            </w:r>
          </w:p>
        </w:tc>
        <w:tc>
          <w:tcPr>
            <w:tcW w:type="dxa" w:w="1080"/>
          </w:tcPr>
          <w:p>
            <w:r>
              <w:rPr>
                <w:rFonts w:ascii="Calibri" w:hAnsi="Calibri"/>
                <w:sz w:val="22"/>
              </w:rPr>
              <w:t>+0.31%</w:t>
            </w:r>
          </w:p>
        </w:tc>
        <w:tc>
          <w:tcPr>
            <w:tcW w:type="dxa" w:w="1080"/>
          </w:tcPr>
          <w:p>
            <w:r>
              <w:rPr>
                <w:rFonts w:ascii="Calibri" w:hAnsi="Calibri"/>
                <w:sz w:val="22"/>
              </w:rPr>
              <w:t>-0.34%</w:t>
            </w:r>
          </w:p>
        </w:tc>
        <w:tc>
          <w:tcPr>
            <w:tcW w:type="dxa" w:w="1080"/>
          </w:tcPr>
          <w:p>
            <w:r>
              <w:rPr>
                <w:rFonts w:ascii="Calibri" w:hAnsi="Calibri"/>
                <w:sz w:val="22"/>
              </w:rPr>
              <w:t>-65bps</w:t>
            </w:r>
          </w:p>
        </w:tc>
        <w:tc>
          <w:tcPr>
            <w:tcW w:type="dxa" w:w="1080"/>
          </w:tcPr>
          <w:p>
            <w:r>
              <w:rPr>
                <w:rFonts w:ascii="Calibri" w:hAnsi="Calibri"/>
                <w:sz w:val="22"/>
              </w:rPr>
              <w:t>~flat</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Below guidance midpoint</w:t>
            </w:r>
          </w:p>
        </w:tc>
      </w:tr>
      <w:tr>
        <w:tc>
          <w:tcPr>
            <w:tcW w:type="dxa" w:w="1080"/>
          </w:tcPr>
          <w:p>
            <w:r>
              <w:rPr>
                <w:rFonts w:ascii="Calibri" w:hAnsi="Calibri"/>
                <w:sz w:val="22"/>
              </w:rPr>
              <w:t>SS Revenue Growth (FY 2026)</w:t>
            </w:r>
          </w:p>
        </w:tc>
        <w:tc>
          <w:tcPr>
            <w:tcW w:type="dxa" w:w="1080"/>
          </w:tcPr>
          <w:p>
            <w:r>
              <w:rPr>
                <w:rFonts w:ascii="Calibri" w:hAnsi="Calibri"/>
                <w:sz w:val="22"/>
              </w:rPr>
              <w:t>+0.24%</w:t>
            </w:r>
          </w:p>
        </w:tc>
        <w:tc>
          <w:tcPr>
            <w:tcW w:type="dxa" w:w="1080"/>
          </w:tcPr>
          <w:p>
            <w:r>
              <w:rPr>
                <w:rFonts w:ascii="Calibri" w:hAnsi="Calibri"/>
                <w:sz w:val="22"/>
              </w:rPr>
              <w:t>-0.15%</w:t>
            </w:r>
          </w:p>
        </w:tc>
        <w:tc>
          <w:tcPr>
            <w:tcW w:type="dxa" w:w="1080"/>
          </w:tcPr>
          <w:p>
            <w:r>
              <w:rPr>
                <w:rFonts w:ascii="Calibri" w:hAnsi="Calibri"/>
                <w:sz w:val="22"/>
              </w:rPr>
              <w:t>-39bps</w:t>
            </w:r>
          </w:p>
        </w:tc>
        <w:tc>
          <w:tcPr>
            <w:tcW w:type="dxa" w:w="1080"/>
          </w:tcPr>
          <w:p>
            <w:r>
              <w:rPr>
                <w:rFonts w:ascii="Calibri" w:hAnsi="Calibri"/>
                <w:sz w:val="22"/>
              </w:rPr>
              <w:t>-0.15% to +0.24%</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At low end of range</w:t>
            </w:r>
          </w:p>
        </w:tc>
      </w:tr>
      <w:tr>
        <w:tc>
          <w:tcPr>
            <w:tcW w:type="dxa" w:w="1080"/>
          </w:tcPr>
          <w:p>
            <w:r>
              <w:rPr>
                <w:rFonts w:ascii="Calibri" w:hAnsi="Calibri"/>
                <w:sz w:val="22"/>
              </w:rPr>
              <w:t>SS NOI Growth (Q2 2026)</w:t>
            </w:r>
          </w:p>
        </w:tc>
        <w:tc>
          <w:tcPr>
            <w:tcW w:type="dxa" w:w="1080"/>
          </w:tcPr>
          <w:p>
            <w:r>
              <w:rPr>
                <w:rFonts w:ascii="Calibri" w:hAnsi="Calibri"/>
                <w:sz w:val="22"/>
              </w:rPr>
              <w:t>-1.24%</w:t>
            </w:r>
          </w:p>
        </w:tc>
        <w:tc>
          <w:tcPr>
            <w:tcW w:type="dxa" w:w="1080"/>
          </w:tcPr>
          <w:p>
            <w:r>
              <w:rPr>
                <w:rFonts w:ascii="Calibri" w:hAnsi="Calibri"/>
                <w:sz w:val="22"/>
              </w:rPr>
              <w:t>-1.60%</w:t>
            </w:r>
          </w:p>
        </w:tc>
        <w:tc>
          <w:tcPr>
            <w:tcW w:type="dxa" w:w="1080"/>
          </w:tcPr>
          <w:p>
            <w:r>
              <w:rPr>
                <w:rFonts w:ascii="Calibri" w:hAnsi="Calibri"/>
                <w:sz w:val="22"/>
              </w:rPr>
              <w:t>-36bps</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SS NOI Growth (FY 2026)</w:t>
            </w:r>
          </w:p>
        </w:tc>
        <w:tc>
          <w:tcPr>
            <w:tcW w:type="dxa" w:w="1080"/>
          </w:tcPr>
          <w:p>
            <w:r>
              <w:rPr>
                <w:rFonts w:ascii="Calibri" w:hAnsi="Calibri"/>
                <w:sz w:val="22"/>
              </w:rPr>
              <w:t>-0.53%</w:t>
            </w:r>
          </w:p>
        </w:tc>
        <w:tc>
          <w:tcPr>
            <w:tcW w:type="dxa" w:w="1080"/>
          </w:tcPr>
          <w:p>
            <w:r>
              <w:rPr>
                <w:rFonts w:ascii="Calibri" w:hAnsi="Calibri"/>
                <w:sz w:val="22"/>
              </w:rPr>
              <w:t>-0.56%</w:t>
            </w:r>
          </w:p>
        </w:tc>
        <w:tc>
          <w:tcPr>
            <w:tcW w:type="dxa" w:w="1080"/>
          </w:tcPr>
          <w:p>
            <w:r>
              <w:rPr>
                <w:rFonts w:ascii="Calibri" w:hAnsi="Calibri"/>
                <w:sz w:val="22"/>
              </w:rPr>
              <w:t>-3bps</w:t>
            </w:r>
          </w:p>
        </w:tc>
        <w:tc>
          <w:tcPr>
            <w:tcW w:type="dxa" w:w="1080"/>
          </w:tcPr>
          <w:p>
            <w:r>
              <w:rPr>
                <w:rFonts w:ascii="Calibri" w:hAnsi="Calibri"/>
                <w:sz w:val="22"/>
              </w:rPr>
              <w:t>-0.56% to -0.53%</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At low end of range</w:t>
            </w:r>
          </w:p>
        </w:tc>
      </w:tr>
    </w:tbl>
    <w:p>
      <w:r>
        <w:rPr>
          <w:rFonts w:ascii="Calibri" w:hAnsi="Calibri"/>
          <w:i/>
          <w:color w:val="525866"/>
          <w:sz w:val="22"/>
        </w:rPr>
        <w:t xml:space="preserve">The divergence between Core FFO estimates (stable/slightly up) and same-store revenue growth estimates (revised lower by 65bps for Q2) reflects the market’s view that </w:t>
      </w:r>
      <w:r>
        <w:rPr>
          <w:rFonts w:ascii="Calibri" w:hAnsi="Calibri"/>
          <w:b/>
          <w:i/>
          <w:color w:val="525866"/>
          <w:sz w:val="22"/>
        </w:rPr>
        <w:t>expense discipline and non-same-store NOI growth can offset top-line softness</w:t>
      </w:r>
      <w:r>
        <w:rPr>
          <w:rFonts w:ascii="Calibri" w:hAnsi="Calibri"/>
          <w:i/>
          <w:color w:val="525866"/>
          <w:sz w:val="22"/>
        </w:rPr>
        <w:t xml:space="preserve"> — a dynamic that has played out for several quarters and is supported by EXR’s Q2 2026 results showing -0.5% expense growth alongside +2.4% revenue growth.</w:t>
      </w:r>
    </w:p>
    <w:p>
      <w:r>
        <w:rPr>
          <w:rFonts w:ascii="Calibri" w:hAnsi="Calibr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PSA has outperformed on an absolute basis since Q1 earnings (+6.1%), broadly in-line with peers EXR (+6.3%) and CUBE (+8.3%), with the </w:t>
      </w:r>
      <w:r>
        <w:rPr>
          <w:rFonts w:ascii="Calibri" w:hAnsi="Calibri"/>
          <w:b/>
          <w:color w:val="525866"/>
          <w:sz w:val="22"/>
        </w:rPr>
        <w:t>NSA acquisition close on July 22 acting as a near-term catalyst</w:t>
      </w:r>
      <w:r>
        <w:rPr>
          <w:rFonts w:ascii="Calibri" w:hAnsi="Calibri"/>
          <w:color w:val="525866"/>
          <w:sz w:val="22"/>
        </w:rPr>
        <w:t>; EXR’s strong Q2 2026 results reported today (post-market +2.6%) provide an additional positive read-through heading into PSA’s July 30 print.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PSA vs. EXR vs. CUBE — Indexed Price Performance Since Q1 2026 Earnings (Apr 27, 2026 = 100). Key events: May 6 — PSA Q1 2026 Earnings; July 22 — NSA Acquisition Close. Source: Stock Price Data.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Ticker</w:t>
            </w:r>
          </w:p>
        </w:tc>
        <w:tc>
          <w:tcPr>
            <w:tcW w:type="dxa" w:w="1728"/>
            <w:shd w:val="clear" w:color="auto" w:fill="3B4259"/>
          </w:tcPr>
          <w:p>
            <w:r>
              <w:rPr>
                <w:rFonts w:ascii="Calibri" w:hAnsi="Calibri"/>
                <w:b/>
                <w:color w:val="FFFFFF"/>
                <w:sz w:val="22"/>
              </w:rPr>
              <w:t>Apr 27 Close (Base)</w:t>
            </w:r>
          </w:p>
        </w:tc>
        <w:tc>
          <w:tcPr>
            <w:tcW w:type="dxa" w:w="1728"/>
            <w:shd w:val="clear" w:color="auto" w:fill="3B4259"/>
          </w:tcPr>
          <w:p>
            <w:r>
              <w:rPr>
                <w:rFonts w:ascii="Calibri" w:hAnsi="Calibri"/>
                <w:b/>
                <w:color w:val="FFFFFF"/>
                <w:sz w:val="22"/>
              </w:rPr>
              <w:t>Jul 27 Close</w:t>
            </w:r>
          </w:p>
        </w:tc>
        <w:tc>
          <w:tcPr>
            <w:tcW w:type="dxa" w:w="1728"/>
            <w:shd w:val="clear" w:color="auto" w:fill="3B4259"/>
          </w:tcPr>
          <w:p>
            <w:r>
              <w:rPr>
                <w:rFonts w:ascii="Calibri" w:hAnsi="Calibri"/>
                <w:b/>
                <w:color w:val="FFFFFF"/>
                <w:sz w:val="22"/>
              </w:rPr>
              <w:t>$ Change</w:t>
            </w:r>
          </w:p>
        </w:tc>
        <w:tc>
          <w:tcPr>
            <w:tcW w:type="dxa" w:w="1728"/>
            <w:shd w:val="clear" w:color="auto" w:fill="3B4259"/>
          </w:tcPr>
          <w:p>
            <w:r>
              <w:rPr>
                <w:rFonts w:ascii="Calibri" w:hAnsi="Calibri"/>
                <w:b/>
                <w:color w:val="FFFFFF"/>
                <w:sz w:val="22"/>
              </w:rPr>
              <w:t>% Change</w:t>
            </w:r>
          </w:p>
        </w:tc>
      </w:tr>
      <w:tr>
        <w:tc>
          <w:tcPr>
            <w:tcW w:type="dxa" w:w="1728"/>
          </w:tcPr>
          <w:p>
            <w:r>
              <w:rPr>
                <w:rFonts w:ascii="Calibri" w:hAnsi="Calibri"/>
                <w:sz w:val="22"/>
              </w:rPr>
              <w:t>PSA</w:t>
            </w:r>
          </w:p>
        </w:tc>
        <w:tc>
          <w:tcPr>
            <w:tcW w:type="dxa" w:w="1728"/>
          </w:tcPr>
          <w:p>
            <w:r>
              <w:rPr>
                <w:rFonts w:ascii="Calibri" w:hAnsi="Calibri"/>
                <w:sz w:val="22"/>
              </w:rPr>
              <w:t>$305.48</w:t>
            </w:r>
          </w:p>
        </w:tc>
        <w:tc>
          <w:tcPr>
            <w:tcW w:type="dxa" w:w="1728"/>
          </w:tcPr>
          <w:p>
            <w:r>
              <w:rPr>
                <w:rFonts w:ascii="Calibri" w:hAnsi="Calibri"/>
                <w:sz w:val="22"/>
              </w:rPr>
              <w:t>$324.02</w:t>
            </w:r>
          </w:p>
        </w:tc>
        <w:tc>
          <w:tcPr>
            <w:tcW w:type="dxa" w:w="1728"/>
          </w:tcPr>
          <w:p>
            <w:r>
              <w:rPr>
                <w:rFonts w:ascii="Calibri" w:hAnsi="Calibri"/>
                <w:sz w:val="22"/>
              </w:rPr>
              <w:t>+$18.54</w:t>
            </w:r>
          </w:p>
        </w:tc>
        <w:tc>
          <w:tcPr>
            <w:tcW w:type="dxa" w:w="1728"/>
          </w:tcPr>
          <w:p>
            <w:r>
              <w:rPr>
                <w:rFonts w:ascii="Calibri" w:hAnsi="Calibri"/>
                <w:sz w:val="22"/>
              </w:rPr>
              <w:t>+6.1%</w:t>
            </w:r>
          </w:p>
        </w:tc>
      </w:tr>
      <w:tr>
        <w:tc>
          <w:tcPr>
            <w:tcW w:type="dxa" w:w="1728"/>
          </w:tcPr>
          <w:p>
            <w:r>
              <w:rPr>
                <w:rFonts w:ascii="Calibri" w:hAnsi="Calibri"/>
                <w:sz w:val="22"/>
              </w:rPr>
              <w:t>EXR</w:t>
            </w:r>
          </w:p>
        </w:tc>
        <w:tc>
          <w:tcPr>
            <w:tcW w:type="dxa" w:w="1728"/>
          </w:tcPr>
          <w:p>
            <w:r>
              <w:rPr>
                <w:rFonts w:ascii="Calibri" w:hAnsi="Calibri"/>
                <w:sz w:val="22"/>
              </w:rPr>
              <w:t>$139.54</w:t>
            </w:r>
          </w:p>
        </w:tc>
        <w:tc>
          <w:tcPr>
            <w:tcW w:type="dxa" w:w="1728"/>
          </w:tcPr>
          <w:p>
            <w:r>
              <w:rPr>
                <w:rFonts w:ascii="Calibri" w:hAnsi="Calibri"/>
                <w:sz w:val="22"/>
              </w:rPr>
              <w:t>$148.29</w:t>
            </w:r>
          </w:p>
        </w:tc>
        <w:tc>
          <w:tcPr>
            <w:tcW w:type="dxa" w:w="1728"/>
          </w:tcPr>
          <w:p>
            <w:r>
              <w:rPr>
                <w:rFonts w:ascii="Calibri" w:hAnsi="Calibri"/>
                <w:sz w:val="22"/>
              </w:rPr>
              <w:t>+$8.75</w:t>
            </w:r>
          </w:p>
        </w:tc>
        <w:tc>
          <w:tcPr>
            <w:tcW w:type="dxa" w:w="1728"/>
          </w:tcPr>
          <w:p>
            <w:r>
              <w:rPr>
                <w:rFonts w:ascii="Calibri" w:hAnsi="Calibri"/>
                <w:sz w:val="22"/>
              </w:rPr>
              <w:t>+6.3%</w:t>
            </w:r>
          </w:p>
        </w:tc>
      </w:tr>
      <w:tr>
        <w:tc>
          <w:tcPr>
            <w:tcW w:type="dxa" w:w="1728"/>
          </w:tcPr>
          <w:p>
            <w:r>
              <w:rPr>
                <w:rFonts w:ascii="Calibri" w:hAnsi="Calibri"/>
                <w:sz w:val="22"/>
              </w:rPr>
              <w:t>CUBE</w:t>
            </w:r>
          </w:p>
        </w:tc>
        <w:tc>
          <w:tcPr>
            <w:tcW w:type="dxa" w:w="1728"/>
          </w:tcPr>
          <w:p>
            <w:r>
              <w:rPr>
                <w:rFonts w:ascii="Calibri" w:hAnsi="Calibri"/>
                <w:sz w:val="22"/>
              </w:rPr>
              <w:t>$39.04</w:t>
            </w:r>
          </w:p>
        </w:tc>
        <w:tc>
          <w:tcPr>
            <w:tcW w:type="dxa" w:w="1728"/>
          </w:tcPr>
          <w:p>
            <w:r>
              <w:rPr>
                <w:rFonts w:ascii="Calibri" w:hAnsi="Calibri"/>
                <w:sz w:val="22"/>
              </w:rPr>
              <w:t>$42.28</w:t>
            </w:r>
          </w:p>
        </w:tc>
        <w:tc>
          <w:tcPr>
            <w:tcW w:type="dxa" w:w="1728"/>
          </w:tcPr>
          <w:p>
            <w:r>
              <w:rPr>
                <w:rFonts w:ascii="Calibri" w:hAnsi="Calibri"/>
                <w:sz w:val="22"/>
              </w:rPr>
              <w:t>+$3.24</w:t>
            </w:r>
          </w:p>
        </w:tc>
        <w:tc>
          <w:tcPr>
            <w:tcW w:type="dxa" w:w="1728"/>
          </w:tcPr>
          <w:p>
            <w:r>
              <w:rPr>
                <w:rFonts w:ascii="Calibri" w:hAnsi="Calibri"/>
                <w:sz w:val="22"/>
              </w:rPr>
              <w:t>+8.3%</w:t>
            </w:r>
          </w:p>
        </w:tc>
      </w:tr>
    </w:tbl>
    <w:p>
      <w:r>
        <w:rPr>
          <w:rFonts w:ascii="Calibri" w:hAnsi="Calibri"/>
          <w:b/>
          <w:color w:val="525866"/>
          <w:sz w:val="22"/>
        </w:rPr>
        <w:t xml:space="preserve">Note: </w:t>
      </w:r>
      <w:r>
        <w:rPr>
          <w:rFonts w:ascii="Calibri" w:hAnsi="Calibri"/>
          <w:color w:val="525866"/>
          <w:sz w:val="22"/>
        </w:rPr>
        <w:t>EXR reported Q2 2026 results after market close on July 28, 2026. EXR post-market price: $152.11 (+2.6% vs. prior close of $148.29), reflecting a strong beat and guidance raise. This is a positive read-through for PSA’s Q2 print on July 30. Source: Stock Price Data.</w:t>
      </w:r>
    </w:p>
    <w:p>
      <w:r>
        <w:br w:type="page"/>
      </w:r>
    </w:p>
    <w:p>
      <w:pPr>
        <w:pStyle w:val="Heading1"/>
        <w:pBdr>
          <w:bottom w:val="single" w:sz="4" w:space="1" w:color="FB9120"/>
        </w:pBdr>
      </w:pPr>
      <w:r>
        <w:rPr>
          <w:rFonts w:ascii="Calibri" w:hAnsi="Calibri"/>
          <w:b/>
          <w:color w:val="3B4259"/>
          <w:sz w:val="40"/>
        </w:rPr>
        <w:t>6. Peer Commentary — Read-Through for Q2 2026</w:t>
      </w:r>
    </w:p>
    <w:p>
      <w:r>
        <w:rPr>
          <w:rFonts w:ascii="Calibri" w:hAnsi="Calibri"/>
          <w:b/>
          <w:color w:val="525866"/>
          <w:sz w:val="22"/>
        </w:rPr>
        <w:t xml:space="preserve">Key Takeaway: </w:t>
      </w:r>
      <w:r>
        <w:rPr>
          <w:rFonts w:ascii="Calibri" w:hAnsi="Calibri"/>
          <w:color w:val="525866"/>
          <w:sz w:val="22"/>
        </w:rPr>
        <w:t xml:space="preserve">Both EXR (Q2 2026 actual results, reported today) and CUBE (Q1 2026 earnings, May 2026) provide </w:t>
      </w:r>
      <w:r>
        <w:rPr>
          <w:rFonts w:ascii="Calibri" w:hAnsi="Calibri"/>
          <w:b/>
          <w:color w:val="525866"/>
          <w:sz w:val="22"/>
        </w:rPr>
        <w:t>constructive read-throughs for PSA’s Q2 print</w:t>
      </w:r>
      <w:r>
        <w:rPr>
          <w:rFonts w:ascii="Calibri" w:hAnsi="Calibri"/>
          <w:color w:val="525866"/>
          <w:sz w:val="22"/>
        </w:rPr>
        <w:t xml:space="preserve"> — the sector recovery is broadening, busy season trends are positive, supply headwinds are fading, and existing customer churn remains low. Only commentary about Q2 2026 conditions or forward-looking statements made after Q1 earnings is included below.</w:t>
      </w:r>
    </w:p>
    <w:p>
      <w:pPr>
        <w:pStyle w:val="Heading2"/>
      </w:pPr>
      <w:r>
        <w:rPr>
          <w:rFonts w:ascii="Calibri" w:hAnsi="Calibri"/>
          <w:b/>
          <w:color w:val="3B4259"/>
          <w:sz w:val="28"/>
        </w:rPr>
        <w:t>A. Extra Space Storage (EXR) — Q2 2026 Results (Reported July 28, 2026)</w:t>
      </w:r>
    </w:p>
    <w:p>
      <w:r>
        <w:rPr>
          <w:rFonts w:ascii="Calibri" w:hAnsi="Calibri"/>
          <w:b/>
          <w:i/>
          <w:color w:val="525866"/>
          <w:sz w:val="22"/>
        </w:rPr>
        <w:t>[Most Direct Read-Through — Same Reporting Quarter]</w:t>
      </w:r>
    </w:p>
    <w:p>
      <w:r>
        <w:rPr>
          <w:rFonts w:ascii="Calibri" w:hAnsi="Calibri"/>
          <w:color w:val="525866"/>
          <w:sz w:val="22"/>
        </w:rPr>
        <w:t>EXR reported Q2 2026 results today, providing the most direct and timely read-through for PSA’s Q2 print:</w:t>
      </w:r>
    </w:p>
    <w:p>
      <w:pPr>
        <w:pStyle w:val="ListBullet"/>
        <w:ind w:left="360" w:hanging="360"/>
      </w:pPr>
      <w:r>
        <w:rPr>
          <w:rFonts w:ascii="Calibri" w:hAnsi="Calibri"/>
          <w:color w:val="525866"/>
          <w:sz w:val="22"/>
        </w:rPr>
        <w:t xml:space="preserve">Same-store revenue grew </w:t>
      </w:r>
      <w:r>
        <w:rPr>
          <w:rFonts w:ascii="Calibri" w:hAnsi="Calibri"/>
          <w:b/>
          <w:color w:val="525866"/>
          <w:sz w:val="22"/>
        </w:rPr>
        <w:t>+2.4% YoY in Q2 2026</w:t>
      </w:r>
      <w:r>
        <w:rPr>
          <w:rFonts w:ascii="Calibri" w:hAnsi="Calibri"/>
          <w:color w:val="525866"/>
          <w:sz w:val="22"/>
        </w:rPr>
        <w:t xml:space="preserve"> (vs. PSA consensus of -0.34%) — EXR’s portfolio skews toward higher-quality urban markets, but the direction is clearly positive and well above expectations.</w:t>
      </w:r>
    </w:p>
    <w:p>
      <w:pPr>
        <w:pStyle w:val="ListBullet"/>
        <w:ind w:left="360" w:hanging="360"/>
      </w:pPr>
      <w:r>
        <w:rPr>
          <w:rFonts w:ascii="Calibri" w:hAnsi="Calibri"/>
          <w:color w:val="525866"/>
          <w:sz w:val="22"/>
        </w:rPr>
        <w:t xml:space="preserve">Same-store NOI grew </w:t>
      </w:r>
      <w:r>
        <w:rPr>
          <w:rFonts w:ascii="Calibri" w:hAnsi="Calibri"/>
          <w:b/>
          <w:color w:val="525866"/>
          <w:sz w:val="22"/>
        </w:rPr>
        <w:t>+3.5% YoY in Q2 2026</w:t>
      </w:r>
      <w:r>
        <w:rPr>
          <w:rFonts w:ascii="Calibri" w:hAnsi="Calibri"/>
          <w:color w:val="525866"/>
          <w:sz w:val="22"/>
        </w:rPr>
        <w:t>, driven by +2.4% revenue growth and a -0.5% decline in same-store expenses — expense discipline is a key theme across the sector.</w:t>
      </w:r>
    </w:p>
    <w:p>
      <w:pPr>
        <w:pStyle w:val="ListBullet"/>
        <w:ind w:left="360" w:hanging="360"/>
      </w:pPr>
      <w:r>
        <w:rPr>
          <w:rFonts w:ascii="Calibri" w:hAnsi="Calibri"/>
          <w:color w:val="525866"/>
          <w:sz w:val="22"/>
        </w:rPr>
        <w:t xml:space="preserve">Ending same-store occupancy of </w:t>
      </w:r>
      <w:r>
        <w:rPr>
          <w:rFonts w:ascii="Calibri" w:hAnsi="Calibri"/>
          <w:b/>
          <w:color w:val="525866"/>
          <w:sz w:val="22"/>
        </w:rPr>
        <w:t>94.2% as of June 30, 2026</w:t>
      </w:r>
      <w:r>
        <w:rPr>
          <w:rFonts w:ascii="Calibri" w:hAnsi="Calibri"/>
          <w:color w:val="525866"/>
          <w:sz w:val="22"/>
        </w:rPr>
        <w:t xml:space="preserve"> (vs. 94.4% prior year) — slight YoY decline but still very high; average Q2 occupancy of 94.0%.</w:t>
      </w:r>
    </w:p>
    <w:p>
      <w:pPr>
        <w:pStyle w:val="ListBullet"/>
        <w:ind w:left="360" w:hanging="360"/>
      </w:pPr>
      <w:r>
        <w:rPr>
          <w:rFonts w:ascii="Calibri" w:hAnsi="Calibri"/>
          <w:color w:val="525866"/>
          <w:sz w:val="22"/>
        </w:rPr>
        <w:t>CEO Joe Margolis: “</w:t>
      </w:r>
      <w:r>
        <w:rPr>
          <w:rFonts w:ascii="Calibri" w:hAnsi="Calibri"/>
          <w:b/>
          <w:i/>
          <w:color w:val="525866"/>
          <w:sz w:val="22"/>
        </w:rPr>
        <w:t>Our operating systems and platform continue to optimize performance as we get deeper into the storage sector’s recovery.</w:t>
      </w:r>
      <w:r>
        <w:rPr>
          <w:rFonts w:ascii="Calibri" w:hAnsi="Calibri"/>
          <w:color w:val="525866"/>
          <w:sz w:val="22"/>
        </w:rPr>
        <w:t>”</w:t>
      </w:r>
    </w:p>
    <w:p>
      <w:pPr>
        <w:pStyle w:val="ListBullet"/>
        <w:ind w:left="360" w:hanging="360"/>
      </w:pPr>
      <w:r>
        <w:rPr>
          <w:rFonts w:ascii="Calibri" w:hAnsi="Calibri"/>
          <w:color w:val="525866"/>
          <w:sz w:val="22"/>
        </w:rPr>
        <w:t xml:space="preserve">Core FFO grew </w:t>
      </w:r>
      <w:r>
        <w:rPr>
          <w:rFonts w:ascii="Calibri" w:hAnsi="Calibri"/>
          <w:b/>
          <w:color w:val="525866"/>
          <w:sz w:val="22"/>
        </w:rPr>
        <w:t>4.9% in Q2 2026</w:t>
      </w:r>
      <w:r>
        <w:rPr>
          <w:rFonts w:ascii="Calibri" w:hAnsi="Calibri"/>
          <w:color w:val="525866"/>
          <w:sz w:val="22"/>
        </w:rPr>
        <w:t>, driven by “strong occupancy, improving store performance, and smart expense control — with meaningful contributions from ancillary businesses.”</w:t>
      </w:r>
    </w:p>
    <w:p>
      <w:pPr>
        <w:pStyle w:val="ListBullet"/>
        <w:ind w:left="360" w:hanging="360"/>
      </w:pPr>
      <w:r>
        <w:rPr>
          <w:rFonts w:ascii="Calibri" w:hAnsi="Calibri"/>
          <w:color w:val="525866"/>
          <w:sz w:val="22"/>
        </w:rPr>
        <w:t xml:space="preserve">EXR </w:t>
      </w:r>
      <w:r>
        <w:rPr>
          <w:rFonts w:ascii="Calibri" w:hAnsi="Calibri"/>
          <w:b/>
          <w:color w:val="525866"/>
          <w:sz w:val="22"/>
        </w:rPr>
        <w:t>raised FY 2026 guidance</w:t>
      </w:r>
      <w:r>
        <w:rPr>
          <w:rFonts w:ascii="Calibri" w:hAnsi="Calibri"/>
          <w:color w:val="525866"/>
          <w:sz w:val="22"/>
        </w:rPr>
        <w:t>: Core FFO raised to $8.25–$8.40/share (from $8.05–$8.35); same-store revenue growth raised to 1.0%–2.0% (from -0.5% to +1.5%); same-store NOI growth raised to 0.5%–2.5% (from -2.25% to +1.25%).</w:t>
      </w:r>
    </w:p>
    <w:p>
      <w:pPr>
        <w:pStyle w:val="ListBullet"/>
        <w:ind w:left="360" w:hanging="360"/>
      </w:pPr>
      <w:r>
        <w:rPr>
          <w:rFonts w:ascii="Calibri" w:hAnsi="Calibri"/>
          <w:color w:val="525866"/>
          <w:sz w:val="22"/>
        </w:rPr>
        <w:t>Acquisition guidance raised to $300M (from $200M), reflecting an improving transaction market.</w:t>
      </w:r>
    </w:p>
    <w:p>
      <w:pPr>
        <w:pStyle w:val="ListBullet"/>
        <w:ind w:left="360" w:hanging="360"/>
      </w:pPr>
      <w:r>
        <w:rPr>
          <w:rFonts w:ascii="Calibri" w:hAnsi="Calibri"/>
          <w:b/>
          <w:color w:val="525866"/>
          <w:sz w:val="22"/>
        </w:rPr>
        <w:t xml:space="preserve">Implication for PSA: </w:t>
      </w:r>
      <w:r>
        <w:rPr>
          <w:rFonts w:ascii="Calibri" w:hAnsi="Calibri"/>
          <w:color w:val="525866"/>
          <w:sz w:val="22"/>
        </w:rPr>
        <w:t>EXR’s guidance raise and strong Q2 results are a clear positive read-through. PSA’s same-store revenue consensus of -0.34% looks conservative relative to EXR’s +2.4% actual — though PSA’s portfolio has more Sunbelt exposure and the LA state of emergency is a unique headwind not present at EXR.</w:t>
      </w:r>
    </w:p>
    <w:p>
      <w:pPr>
        <w:pStyle w:val="Heading2"/>
      </w:pPr>
      <w:r>
        <w:rPr>
          <w:rFonts w:ascii="Calibri" w:hAnsi="Calibri"/>
          <w:b/>
          <w:color w:val="3B4259"/>
          <w:sz w:val="28"/>
        </w:rPr>
        <w:t>B. CubeSmart (CUBE) — Q1 2026 Earnings Call (May 1, 2026)</w:t>
      </w:r>
    </w:p>
    <w:p>
      <w:r>
        <w:rPr>
          <w:rFonts w:ascii="Calibri" w:hAnsi="Calibri"/>
          <w:b/>
          <w:i/>
          <w:color w:val="525866"/>
          <w:sz w:val="22"/>
        </w:rPr>
        <w:t>[Forward-Looking Commentary About Q2 2026 / Busy Season — Made After Q1 Earnings]</w:t>
      </w:r>
    </w:p>
    <w:p>
      <w:r>
        <w:rPr>
          <w:rFonts w:ascii="Calibri" w:hAnsi="Calibri"/>
          <w:color w:val="525866"/>
          <w:sz w:val="22"/>
        </w:rPr>
        <w:t>CUBE’s Q1 2026 earnings call (May 2026) contained significant forward-looking commentary about Q2 2026 conditions and the busy season that is directly relevant to PSA’s setup:</w:t>
      </w:r>
    </w:p>
    <w:p>
      <w:pPr>
        <w:pStyle w:val="ListBullet"/>
        <w:ind w:left="360" w:hanging="360"/>
      </w:pPr>
      <w:r>
        <w:rPr>
          <w:rFonts w:ascii="Calibri" w:hAnsi="Calibri"/>
          <w:color w:val="525866"/>
          <w:sz w:val="22"/>
        </w:rPr>
        <w:t xml:space="preserve">Move-in rates ended Q1 up 2% YoY, and this </w:t>
      </w:r>
      <w:r>
        <w:rPr>
          <w:rFonts w:ascii="Calibri" w:hAnsi="Calibri"/>
          <w:b/>
          <w:color w:val="525866"/>
          <w:sz w:val="22"/>
        </w:rPr>
        <w:t>+2% spread held through April</w:t>
      </w:r>
      <w:r>
        <w:rPr>
          <w:rFonts w:ascii="Calibri" w:hAnsi="Calibri"/>
          <w:color w:val="525866"/>
          <w:sz w:val="22"/>
        </w:rPr>
        <w:t>: “The average rent rate on rentals in April was plus 2%.” — a meaningful positive signal for Q2 pricing.</w:t>
      </w:r>
    </w:p>
    <w:p>
      <w:pPr>
        <w:pStyle w:val="ListBullet"/>
        <w:ind w:left="360" w:hanging="360"/>
      </w:pPr>
      <w:r>
        <w:rPr>
          <w:rFonts w:ascii="Calibri" w:hAnsi="Calibri"/>
          <w:color w:val="525866"/>
          <w:sz w:val="22"/>
        </w:rPr>
        <w:t xml:space="preserve">Occupancy gap narrowed to just </w:t>
      </w:r>
      <w:r>
        <w:rPr>
          <w:rFonts w:ascii="Calibri" w:hAnsi="Calibri"/>
          <w:b/>
          <w:color w:val="525866"/>
          <w:sz w:val="22"/>
        </w:rPr>
        <w:t>20 basis points YoY by end of April</w:t>
      </w:r>
      <w:r>
        <w:rPr>
          <w:rFonts w:ascii="Calibri" w:hAnsi="Calibri"/>
          <w:color w:val="525866"/>
          <w:sz w:val="22"/>
        </w:rPr>
        <w:t xml:space="preserve"> (from -70bps at year-end 2025): “putting us in a good position entering the spring/summer busy season.”</w:t>
      </w:r>
    </w:p>
    <w:p>
      <w:pPr>
        <w:pStyle w:val="ListBullet"/>
        <w:ind w:left="360" w:hanging="360"/>
      </w:pPr>
      <w:r>
        <w:rPr>
          <w:rFonts w:ascii="Calibri" w:hAnsi="Calibri"/>
          <w:color w:val="525866"/>
          <w:sz w:val="22"/>
        </w:rPr>
        <w:t xml:space="preserve">Net rentals surged </w:t>
      </w:r>
      <w:r>
        <w:rPr>
          <w:rFonts w:ascii="Calibri" w:hAnsi="Calibri"/>
          <w:b/>
          <w:color w:val="525866"/>
          <w:sz w:val="22"/>
        </w:rPr>
        <w:t>240% in Q1</w:t>
      </w:r>
      <w:r>
        <w:rPr>
          <w:rFonts w:ascii="Calibri" w:hAnsi="Calibri"/>
          <w:color w:val="525866"/>
          <w:sz w:val="22"/>
        </w:rPr>
        <w:t xml:space="preserve"> due to steady demand combined with fewer vacates — existing customer base described as “particularly sticky, staying longer than certainly pre-COVID historical trends.”</w:t>
      </w:r>
    </w:p>
    <w:p>
      <w:pPr>
        <w:pStyle w:val="ListBullet"/>
        <w:ind w:left="360" w:hanging="360"/>
      </w:pPr>
      <w:r>
        <w:rPr>
          <w:rFonts w:ascii="Calibri" w:hAnsi="Calibri"/>
          <w:color w:val="525866"/>
          <w:sz w:val="22"/>
        </w:rPr>
        <w:t>Vacates were down 3.9% in Q1; April rentals were up ~1% YoY: “</w:t>
      </w:r>
      <w:r>
        <w:rPr>
          <w:rFonts w:ascii="Calibri" w:hAnsi="Calibri"/>
          <w:b/>
          <w:i/>
          <w:color w:val="525866"/>
          <w:sz w:val="22"/>
        </w:rPr>
        <w:t>Good top-funnel demand in April at good prices.</w:t>
      </w:r>
      <w:r>
        <w:rPr>
          <w:rFonts w:ascii="Calibri" w:hAnsi="Calibri"/>
          <w:color w:val="525866"/>
          <w:sz w:val="22"/>
        </w:rPr>
        <w:t>”</w:t>
      </w:r>
    </w:p>
    <w:p>
      <w:pPr>
        <w:pStyle w:val="ListBullet"/>
        <w:ind w:left="360" w:hanging="360"/>
      </w:pPr>
      <w:r>
        <w:rPr>
          <w:rFonts w:ascii="Calibri" w:hAnsi="Calibri"/>
          <w:color w:val="525866"/>
          <w:sz w:val="22"/>
        </w:rPr>
        <w:t>Supply headwinds are fading: “</w:t>
      </w:r>
      <w:r>
        <w:rPr>
          <w:rFonts w:ascii="Calibri" w:hAnsi="Calibri"/>
          <w:b/>
          <w:i/>
          <w:color w:val="525866"/>
          <w:sz w:val="22"/>
        </w:rPr>
        <w:t>The impact of supply has certainly been felt on the move-in side... that impact continues to decline, and we expect it to continue to decline. So that’s been a bit now more of a helpful tailwind than a headwind.</w:t>
      </w:r>
      <w:r>
        <w:rPr>
          <w:rFonts w:ascii="Calibri" w:hAnsi="Calibri"/>
          <w:color w:val="525866"/>
          <w:sz w:val="22"/>
        </w:rPr>
        <w:t>”</w:t>
      </w:r>
    </w:p>
    <w:p>
      <w:pPr>
        <w:pStyle w:val="ListBullet"/>
        <w:ind w:left="360" w:hanging="360"/>
      </w:pPr>
      <w:r>
        <w:rPr>
          <w:rFonts w:ascii="Calibri" w:hAnsi="Calibri"/>
          <w:b/>
          <w:color w:val="525866"/>
          <w:sz w:val="22"/>
        </w:rPr>
        <w:t xml:space="preserve">Sunbelt green shoots: </w:t>
      </w:r>
      <w:r>
        <w:rPr>
          <w:rFonts w:ascii="Calibri" w:hAnsi="Calibri"/>
          <w:color w:val="525866"/>
          <w:sz w:val="22"/>
        </w:rPr>
        <w:t>Miami swung to positive same-store revenue growth; Phoenix and Atlanta making “meaningful progress in their recovery from the influx of new supply.”</w:t>
      </w:r>
    </w:p>
    <w:p>
      <w:pPr>
        <w:pStyle w:val="ListBullet"/>
        <w:ind w:left="360" w:hanging="360"/>
      </w:pPr>
      <w:r>
        <w:rPr>
          <w:rFonts w:ascii="Calibri" w:hAnsi="Calibri"/>
          <w:color w:val="525866"/>
          <w:sz w:val="22"/>
        </w:rPr>
        <w:t>CUBE entered busy season “</w:t>
      </w:r>
      <w:r>
        <w:rPr>
          <w:rFonts w:ascii="Calibri" w:hAnsi="Calibri"/>
          <w:b/>
          <w:i/>
          <w:color w:val="525866"/>
          <w:sz w:val="22"/>
        </w:rPr>
        <w:t>well positioned to capitalize on the opportunities presented</w:t>
      </w:r>
      <w:r>
        <w:rPr>
          <w:rFonts w:ascii="Calibri" w:hAnsi="Calibri"/>
          <w:color w:val="525866"/>
          <w:sz w:val="22"/>
        </w:rPr>
        <w:t>” and was “very enthusiastic by how the spring has started.”</w:t>
      </w:r>
    </w:p>
    <w:p>
      <w:pPr>
        <w:pStyle w:val="ListBullet"/>
        <w:ind w:left="360" w:hanging="360"/>
      </w:pPr>
      <w:r>
        <w:rPr>
          <w:rFonts w:ascii="Calibri" w:hAnsi="Calibri"/>
          <w:b/>
          <w:color w:val="525866"/>
          <w:sz w:val="22"/>
        </w:rPr>
        <w:t xml:space="preserve">Implication for PSA: </w:t>
      </w:r>
      <w:r>
        <w:rPr>
          <w:rFonts w:ascii="Calibri" w:hAnsi="Calibri"/>
          <w:color w:val="525866"/>
          <w:sz w:val="22"/>
        </w:rPr>
        <w:t>CUBE’s April data points (move-in rates +2%, occupancy gap nearly closed, vacates down) are highly relevant for PSA’s Q2 setup. PSA management also noted in April that move-in rates were improving to flat to slightly positive — CUBE’s data suggests the broader sector saw a meaningful improvement through the busy season, supporting the case for a same-store revenue beat.</w:t>
      </w:r>
    </w:p>
    <w:p>
      <w:pPr>
        <w:pStyle w:val="Heading2"/>
      </w:pPr>
      <w:r>
        <w:rPr>
          <w:rFonts w:ascii="Calibri" w:hAnsi="Calibri"/>
          <w:b/>
          <w:color w:val="3B4259"/>
          <w:sz w:val="28"/>
        </w:rPr>
        <w:t>Key Themes Across Peers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Evidence</w:t>
            </w:r>
          </w:p>
        </w:tc>
        <w:tc>
          <w:tcPr>
            <w:tcW w:type="dxa" w:w="2880"/>
            <w:shd w:val="clear" w:color="auto" w:fill="3B4259"/>
          </w:tcPr>
          <w:p>
            <w:r>
              <w:rPr>
                <w:rFonts w:ascii="Calibri" w:hAnsi="Calibri"/>
                <w:b/>
                <w:color w:val="FFFFFF"/>
                <w:sz w:val="22"/>
              </w:rPr>
              <w:t>PSA Implication</w:t>
            </w:r>
          </w:p>
        </w:tc>
      </w:tr>
      <w:tr>
        <w:tc>
          <w:tcPr>
            <w:tcW w:type="dxa" w:w="2880"/>
          </w:tcPr>
          <w:p>
            <w:r>
              <w:rPr>
                <w:rFonts w:ascii="Calibri" w:hAnsi="Calibri"/>
                <w:sz w:val="22"/>
              </w:rPr>
              <w:t>Sector recovery is real and broadening</w:t>
            </w:r>
          </w:p>
        </w:tc>
        <w:tc>
          <w:tcPr>
            <w:tcW w:type="dxa" w:w="2880"/>
          </w:tcPr>
          <w:p>
            <w:r>
              <w:rPr>
                <w:rFonts w:ascii="Calibri" w:hAnsi="Calibri"/>
                <w:sz w:val="22"/>
              </w:rPr>
              <w:t>EXR Q2 beat + guidance raise; CUBE inflection in SS revenue growth</w:t>
            </w:r>
          </w:p>
        </w:tc>
        <w:tc>
          <w:tcPr>
            <w:tcW w:type="dxa" w:w="2880"/>
          </w:tcPr>
          <w:p>
            <w:r>
              <w:rPr>
                <w:rFonts w:ascii="Calibri" w:hAnsi="Calibri"/>
                <w:sz w:val="22"/>
              </w:rPr>
              <w:t>Positive — recovery not PSA-specific; supports upside to PSA consensus</w:t>
            </w:r>
          </w:p>
        </w:tc>
      </w:tr>
      <w:tr>
        <w:tc>
          <w:tcPr>
            <w:tcW w:type="dxa" w:w="2880"/>
          </w:tcPr>
          <w:p>
            <w:r>
              <w:rPr>
                <w:rFonts w:ascii="Calibri" w:hAnsi="Calibri"/>
                <w:sz w:val="22"/>
              </w:rPr>
              <w:t>Supply headwinds fading</w:t>
            </w:r>
          </w:p>
        </w:tc>
        <w:tc>
          <w:tcPr>
            <w:tcW w:type="dxa" w:w="2880"/>
          </w:tcPr>
          <w:p>
            <w:r>
              <w:rPr>
                <w:rFonts w:ascii="Calibri" w:hAnsi="Calibri"/>
                <w:sz w:val="22"/>
              </w:rPr>
              <w:t>Both peers confirm new supply wave being absorbed; forward pipeline lighter</w:t>
            </w:r>
          </w:p>
        </w:tc>
        <w:tc>
          <w:tcPr>
            <w:tcW w:type="dxa" w:w="2880"/>
          </w:tcPr>
          <w:p>
            <w:r>
              <w:rPr>
                <w:rFonts w:ascii="Calibri" w:hAnsi="Calibri"/>
                <w:sz w:val="22"/>
              </w:rPr>
              <w:t>Positive — supports pricing power recovery, especially in Sunbelt</w:t>
            </w:r>
          </w:p>
        </w:tc>
      </w:tr>
      <w:tr>
        <w:tc>
          <w:tcPr>
            <w:tcW w:type="dxa" w:w="2880"/>
          </w:tcPr>
          <w:p>
            <w:r>
              <w:rPr>
                <w:rFonts w:ascii="Calibri" w:hAnsi="Calibri"/>
                <w:sz w:val="22"/>
              </w:rPr>
              <w:t>Existing customer health strong</w:t>
            </w:r>
          </w:p>
        </w:tc>
        <w:tc>
          <w:tcPr>
            <w:tcW w:type="dxa" w:w="2880"/>
          </w:tcPr>
          <w:p>
            <w:r>
              <w:rPr>
                <w:rFonts w:ascii="Calibri" w:hAnsi="Calibri"/>
                <w:sz w:val="22"/>
              </w:rPr>
              <w:t>CUBE vacates -3.9%; EXR “strong occupancy”; sticky customer base</w:t>
            </w:r>
          </w:p>
        </w:tc>
        <w:tc>
          <w:tcPr>
            <w:tcW w:type="dxa" w:w="2880"/>
          </w:tcPr>
          <w:p>
            <w:r>
              <w:rPr>
                <w:rFonts w:ascii="Calibri" w:hAnsi="Calibri"/>
                <w:sz w:val="22"/>
              </w:rPr>
              <w:t>Positive — mirrors PSA’s Q1 experience; supports occupancy and pricing</w:t>
            </w:r>
          </w:p>
        </w:tc>
      </w:tr>
      <w:tr>
        <w:tc>
          <w:tcPr>
            <w:tcW w:type="dxa" w:w="2880"/>
          </w:tcPr>
          <w:p>
            <w:r>
              <w:rPr>
                <w:rFonts w:ascii="Calibri" w:hAnsi="Calibri"/>
                <w:sz w:val="22"/>
              </w:rPr>
              <w:t>Sunbelt showing green shoots</w:t>
            </w:r>
          </w:p>
        </w:tc>
        <w:tc>
          <w:tcPr>
            <w:tcW w:type="dxa" w:w="2880"/>
          </w:tcPr>
          <w:p>
            <w:r>
              <w:rPr>
                <w:rFonts w:ascii="Calibri" w:hAnsi="Calibri"/>
                <w:sz w:val="22"/>
              </w:rPr>
              <w:t>CUBE: Miami positive; Phoenix/Atlanta improving; EXR: sector recovery deepening</w:t>
            </w:r>
          </w:p>
        </w:tc>
        <w:tc>
          <w:tcPr>
            <w:tcW w:type="dxa" w:w="2880"/>
          </w:tcPr>
          <w:p>
            <w:r>
              <w:rPr>
                <w:rFonts w:ascii="Calibri" w:hAnsi="Calibri"/>
                <w:sz w:val="22"/>
              </w:rPr>
              <w:t>Positive for PSA given Sunbelt exposure; LA remains unique headwind</w:t>
            </w:r>
          </w:p>
        </w:tc>
      </w:tr>
      <w:tr>
        <w:tc>
          <w:tcPr>
            <w:tcW w:type="dxa" w:w="2880"/>
          </w:tcPr>
          <w:p>
            <w:r>
              <w:rPr>
                <w:rFonts w:ascii="Calibri" w:hAnsi="Calibri"/>
                <w:sz w:val="22"/>
              </w:rPr>
              <w:t>Expense discipline is a key offset</w:t>
            </w:r>
          </w:p>
        </w:tc>
        <w:tc>
          <w:tcPr>
            <w:tcW w:type="dxa" w:w="2880"/>
          </w:tcPr>
          <w:p>
            <w:r>
              <w:rPr>
                <w:rFonts w:ascii="Calibri" w:hAnsi="Calibri"/>
                <w:sz w:val="22"/>
              </w:rPr>
              <w:t>EXR SS expenses -0.5% in Q2; CUBE expects expense growth to taper in H2</w:t>
            </w:r>
          </w:p>
        </w:tc>
        <w:tc>
          <w:tcPr>
            <w:tcW w:type="dxa" w:w="2880"/>
          </w:tcPr>
          <w:p>
            <w:r>
              <w:rPr>
                <w:rFonts w:ascii="Calibri" w:hAnsi="Calibri"/>
                <w:sz w:val="22"/>
              </w:rPr>
              <w:t>Positive — PSA has also shown strong expense control; supports NOI beat</w:t>
            </w:r>
          </w:p>
        </w:tc>
      </w:tr>
    </w:tbl>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NSA acquisition closing on July 22</w:t>
      </w:r>
      <w:r>
        <w:rPr>
          <w:rFonts w:ascii="Calibri" w:hAnsi="Calibri"/>
          <w:color w:val="525866"/>
          <w:sz w:val="22"/>
        </w:rPr>
        <w:t xml:space="preserve"> is the dominant development since Q1 earnings — it transforms PSA’s scale and will be the central topic on the Q2 call, though the financial impact will be primarily a Q3 2026 story.</w:t>
      </w:r>
    </w:p>
    <w:p>
      <w:pPr>
        <w:pStyle w:val="ListBullet"/>
        <w:ind w:left="360" w:hanging="360"/>
      </w:pPr>
      <w:r>
        <w:rPr>
          <w:rFonts w:ascii="Calibri" w:hAnsi="Calibri"/>
          <w:b/>
          <w:color w:val="525866"/>
          <w:sz w:val="22"/>
        </w:rPr>
        <w:t xml:space="preserve">July 22, 2026 — NSA Acquisition Closed (Most Material): </w:t>
      </w:r>
      <w:r>
        <w:rPr>
          <w:rFonts w:ascii="Calibri" w:hAnsi="Calibri"/>
          <w:color w:val="525866"/>
          <w:sz w:val="22"/>
        </w:rPr>
        <w:t xml:space="preserve">Public Storage completed the all-stock acquisition of National Storage Affiliates Trust, expanding its portfolio to over 4,500 properties and 327 million rentable square feet. Exchange ratio: 0.14 PSA shares per NSA share. A JV was formed with legacy NSA limited partners (313 properties, ~80% owned by legacy LPs, PSA managing exclusively). JV secured ~$2B in mortgage financing from Goldman Sachs and Wells Fargo plus $237M in mezzanine financing from PSA. Accretion expected within first year; $0.35–$0.50/share accretion at full synergy realization ($110–$130M run-rate synergies over 3–4 years). </w:t>
      </w:r>
      <w:r>
        <w:rPr>
          <w:rFonts w:ascii="Calibri" w:hAnsi="Calibri"/>
          <w:b/>
          <w:color w:val="525866"/>
          <w:sz w:val="22"/>
        </w:rPr>
        <w:t xml:space="preserve">Implication: </w:t>
      </w:r>
      <w:r>
        <w:rPr>
          <w:rFonts w:ascii="Calibri" w:hAnsi="Calibri"/>
          <w:color w:val="525866"/>
          <w:sz w:val="22"/>
        </w:rPr>
        <w:t>NSA closed after Q2 end (June 30) so income statement impact is Q3+; however, deal structure, JV economics, and integration timeline will dominate the Q2 call.</w:t>
      </w:r>
    </w:p>
    <w:p>
      <w:pPr>
        <w:pStyle w:val="ListBullet"/>
        <w:ind w:left="360" w:hanging="360"/>
      </w:pPr>
      <w:r>
        <w:rPr>
          <w:rFonts w:ascii="Calibri" w:hAnsi="Calibri"/>
          <w:b/>
          <w:color w:val="525866"/>
          <w:sz w:val="22"/>
        </w:rPr>
        <w:t xml:space="preserve">July 20, 2026 — PSA Unit Raised $900M in Debt: </w:t>
      </w:r>
      <w:r>
        <w:rPr>
          <w:rFonts w:ascii="Calibri" w:hAnsi="Calibri"/>
          <w:color w:val="525866"/>
          <w:sz w:val="22"/>
        </w:rPr>
        <w:t xml:space="preserve">Public Storage’s operating unit raised $900M in debt financing tied to the NSA acquisition. </w:t>
      </w:r>
      <w:r>
        <w:rPr>
          <w:rFonts w:ascii="Calibri" w:hAnsi="Calibri"/>
          <w:b/>
          <w:color w:val="525866"/>
          <w:sz w:val="22"/>
        </w:rPr>
        <w:t xml:space="preserve">Implication: </w:t>
      </w:r>
      <w:r>
        <w:rPr>
          <w:rFonts w:ascii="Calibri" w:hAnsi="Calibri"/>
          <w:color w:val="525866"/>
          <w:sz w:val="22"/>
        </w:rPr>
        <w:t>Leverage will increase; watch for management commentary on balance sheet capacity and future capital allocation priorities.</w:t>
      </w:r>
    </w:p>
    <w:p>
      <w:pPr>
        <w:pStyle w:val="ListBullet"/>
        <w:ind w:left="360" w:hanging="360"/>
      </w:pPr>
      <w:r>
        <w:rPr>
          <w:rFonts w:ascii="Calibri" w:hAnsi="Calibri"/>
          <w:b/>
          <w:color w:val="525866"/>
          <w:sz w:val="22"/>
        </w:rPr>
        <w:t xml:space="preserve">July 14, 2026 — NSA Shareholders Approved Merger: </w:t>
      </w:r>
      <w:r>
        <w:rPr>
          <w:rFonts w:ascii="Calibri" w:hAnsi="Calibri"/>
          <w:color w:val="525866"/>
          <w:sz w:val="22"/>
        </w:rPr>
        <w:t xml:space="preserve">NSA shareholders voted to approve the Public Storage merger, clearing the final major hurdle before closing. </w:t>
      </w:r>
      <w:r>
        <w:rPr>
          <w:rFonts w:ascii="Calibri" w:hAnsi="Calibri"/>
          <w:b/>
          <w:color w:val="525866"/>
          <w:sz w:val="22"/>
        </w:rPr>
        <w:t xml:space="preserve">Implication: </w:t>
      </w:r>
      <w:r>
        <w:rPr>
          <w:rFonts w:ascii="Calibri" w:hAnsi="Calibri"/>
          <w:color w:val="525866"/>
          <w:sz w:val="22"/>
        </w:rPr>
        <w:t>Removed deal uncertainty; stock reacted positively in the days following.</w:t>
      </w:r>
    </w:p>
    <w:p>
      <w:pPr>
        <w:pStyle w:val="ListBullet"/>
        <w:ind w:left="360" w:hanging="360"/>
      </w:pPr>
      <w:r>
        <w:rPr>
          <w:rFonts w:ascii="Calibri" w:hAnsi="Calibri"/>
          <w:b/>
          <w:color w:val="525866"/>
          <w:sz w:val="22"/>
        </w:rPr>
        <w:t xml:space="preserve">July 28, 2026 — EXR Reports Strong Q2 2026 (Today): </w:t>
      </w:r>
      <w:r>
        <w:rPr>
          <w:rFonts w:ascii="Calibri" w:hAnsi="Calibri"/>
          <w:color w:val="525866"/>
          <w:sz w:val="22"/>
        </w:rPr>
        <w:t xml:space="preserve">Extra Space Storage reported Q2 2026 Core FFO growth of 4.9%, raised FY 2026 guidance across all metrics (Core FFO, SS revenue growth, SS NOI growth). Post-market +2.6%. </w:t>
      </w:r>
      <w:r>
        <w:rPr>
          <w:rFonts w:ascii="Calibri" w:hAnsi="Calibri"/>
          <w:b/>
          <w:color w:val="525866"/>
          <w:sz w:val="22"/>
        </w:rPr>
        <w:t xml:space="preserve">Implication: </w:t>
      </w:r>
      <w:r>
        <w:rPr>
          <w:rFonts w:ascii="Calibri" w:hAnsi="Calibri"/>
          <w:color w:val="525866"/>
          <w:sz w:val="22"/>
        </w:rPr>
        <w:t>Positive sector read-through heading into PSA’s print on July 30; sector recovery is confirmed.</w:t>
      </w:r>
    </w:p>
    <w:p>
      <w:pPr>
        <w:pStyle w:val="ListBullet"/>
        <w:ind w:left="360" w:hanging="360"/>
      </w:pPr>
      <w:r>
        <w:rPr>
          <w:rFonts w:ascii="Calibri" w:hAnsi="Calibri"/>
          <w:b/>
          <w:color w:val="525866"/>
          <w:sz w:val="22"/>
        </w:rPr>
        <w:t xml:space="preserve">May 6, 2026 — PSA Q1 2026 Earnings Beat: </w:t>
      </w:r>
      <w:r>
        <w:rPr>
          <w:rFonts w:ascii="Calibri" w:hAnsi="Calibri"/>
          <w:color w:val="525866"/>
          <w:sz w:val="22"/>
        </w:rPr>
        <w:t xml:space="preserve">Core FFO of $4.22 beat consensus of $4.12 by $0.10 (+2.4%). Same-store NOI beat driven by lower churn, improving move-in rates, and expense discipline. Full-year guidance reaffirmed despite beat. Stock edged modestly higher on the day. </w:t>
      </w:r>
      <w:r>
        <w:rPr>
          <w:rFonts w:ascii="Calibri" w:hAnsi="Calibri"/>
          <w:b/>
          <w:color w:val="525866"/>
          <w:sz w:val="22"/>
        </w:rPr>
        <w:t xml:space="preserve">Implication: </w:t>
      </w:r>
      <w:r>
        <w:rPr>
          <w:rFonts w:ascii="Calibri" w:hAnsi="Calibri"/>
          <w:color w:val="525866"/>
          <w:sz w:val="22"/>
        </w:rPr>
        <w:t>Established a positive operational trajectory heading into Q2; management’s conservative guidance posture sets up potential for another raise.</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All insider activity since Q1 earnings consists of equity award grants (transaction code ‘A’) — </w:t>
      </w:r>
      <w:r>
        <w:rPr>
          <w:rFonts w:ascii="Calibri" w:hAnsi="Calibri"/>
          <w:b/>
          <w:color w:val="525866"/>
          <w:sz w:val="22"/>
        </w:rPr>
        <w:t>no open-market buys or sells have been filed</w:t>
      </w:r>
      <w:r>
        <w:rPr>
          <w:rFonts w:ascii="Calibri" w:hAnsi="Calibri"/>
          <w:color w:val="525866"/>
          <w:sz w:val="22"/>
        </w:rPr>
        <w:t>. The absence of discretionary selling is a mild positive signal, though the lack of open-market buying means insiders are not making a strong directional statement. Notably, Board Chairman Shankh Mitra previously purchased out-of-the-money options at the time of the leadership transition — that earlier purchase was a notable signal of conviction.</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Units / Value</w:t>
            </w:r>
          </w:p>
        </w:tc>
        <w:tc>
          <w:tcPr>
            <w:tcW w:type="dxa" w:w="1234"/>
            <w:shd w:val="clear" w:color="auto" w:fill="3B4259"/>
          </w:tcPr>
          <w:p>
            <w:r>
              <w:rPr>
                <w:rFonts w:ascii="Calibri" w:hAnsi="Calibri"/>
                <w:b/>
                <w:color w:val="FFFFFF"/>
                <w:sz w:val="22"/>
              </w:rPr>
              <w:t>Effective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Shankh Mitra</w:t>
            </w:r>
          </w:p>
        </w:tc>
        <w:tc>
          <w:tcPr>
            <w:tcW w:type="dxa" w:w="1234"/>
          </w:tcPr>
          <w:p>
            <w:r>
              <w:rPr>
                <w:rFonts w:ascii="Calibri" w:hAnsi="Calibri"/>
                <w:sz w:val="22"/>
              </w:rPr>
              <w:t>Board Chairman</w:t>
            </w:r>
          </w:p>
        </w:tc>
        <w:tc>
          <w:tcPr>
            <w:tcW w:type="dxa" w:w="1234"/>
          </w:tcPr>
          <w:p>
            <w:r>
              <w:rPr>
                <w:rFonts w:ascii="Calibri" w:hAnsi="Calibri"/>
                <w:sz w:val="22"/>
              </w:rPr>
              <w:t>Equity Award Grant</w:t>
            </w:r>
          </w:p>
        </w:tc>
        <w:tc>
          <w:tcPr>
            <w:tcW w:type="dxa" w:w="1234"/>
          </w:tcPr>
          <w:p>
            <w:r>
              <w:rPr>
                <w:rFonts w:ascii="Calibri" w:hAnsi="Calibri"/>
                <w:sz w:val="22"/>
              </w:rPr>
              <w:t>305 Common Shares</w:t>
            </w:r>
          </w:p>
        </w:tc>
        <w:tc>
          <w:tcPr>
            <w:tcW w:type="dxa" w:w="1234"/>
          </w:tcPr>
          <w:p>
            <w:r>
              <w:rPr>
                <w:rFonts w:ascii="Calibri" w:hAnsi="Calibri"/>
                <w:sz w:val="22"/>
              </w:rPr>
              <w:t>Jun 30, 2026</w:t>
            </w:r>
          </w:p>
        </w:tc>
        <w:tc>
          <w:tcPr>
            <w:tcW w:type="dxa" w:w="1234"/>
          </w:tcPr>
          <w:p>
            <w:r>
              <w:rPr>
                <w:rFonts w:ascii="Calibri" w:hAnsi="Calibri"/>
                <w:sz w:val="22"/>
              </w:rPr>
              <w:t>Jul 2, 2026</w:t>
            </w:r>
          </w:p>
        </w:tc>
        <w:tc>
          <w:tcPr>
            <w:tcW w:type="dxa" w:w="1234"/>
          </w:tcPr>
          <w:p>
            <w:r>
              <w:rPr>
                <w:rFonts w:ascii="Calibri" w:hAnsi="Calibri"/>
                <w:sz w:val="22"/>
              </w:rPr>
              <w:t>Equity compensation grant; not a discretionary purchase</w:t>
            </w:r>
          </w:p>
        </w:tc>
      </w:tr>
      <w:tr>
        <w:tc>
          <w:tcPr>
            <w:tcW w:type="dxa" w:w="1234"/>
          </w:tcPr>
          <w:p>
            <w:r>
              <w:rPr>
                <w:rFonts w:ascii="Calibri" w:hAnsi="Calibri"/>
                <w:sz w:val="22"/>
              </w:rPr>
              <w:t>Ronald L. Havner Jr.</w:t>
            </w:r>
          </w:p>
        </w:tc>
        <w:tc>
          <w:tcPr>
            <w:tcW w:type="dxa" w:w="1234"/>
          </w:tcPr>
          <w:p>
            <w:r>
              <w:rPr>
                <w:rFonts w:ascii="Calibri" w:hAnsi="Calibri"/>
                <w:sz w:val="22"/>
              </w:rPr>
              <w:t>Director</w:t>
            </w:r>
          </w:p>
        </w:tc>
        <w:tc>
          <w:tcPr>
            <w:tcW w:type="dxa" w:w="1234"/>
          </w:tcPr>
          <w:p>
            <w:r>
              <w:rPr>
                <w:rFonts w:ascii="Calibri" w:hAnsi="Calibri"/>
                <w:sz w:val="22"/>
              </w:rPr>
              <w:t>Equity Award Grant</w:t>
            </w:r>
          </w:p>
        </w:tc>
        <w:tc>
          <w:tcPr>
            <w:tcW w:type="dxa" w:w="1234"/>
          </w:tcPr>
          <w:p>
            <w:r>
              <w:rPr>
                <w:rFonts w:ascii="Calibri" w:hAnsi="Calibri"/>
                <w:sz w:val="22"/>
              </w:rPr>
              <w:t>147,794 LTIP Units + 3.95 Common Shares</w:t>
            </w:r>
          </w:p>
        </w:tc>
        <w:tc>
          <w:tcPr>
            <w:tcW w:type="dxa" w:w="1234"/>
          </w:tcPr>
          <w:p>
            <w:r>
              <w:rPr>
                <w:rFonts w:ascii="Calibri" w:hAnsi="Calibri"/>
                <w:sz w:val="22"/>
              </w:rPr>
              <w:t>Jun 30, 2026</w:t>
            </w:r>
          </w:p>
        </w:tc>
        <w:tc>
          <w:tcPr>
            <w:tcW w:type="dxa" w:w="1234"/>
          </w:tcPr>
          <w:p>
            <w:r>
              <w:rPr>
                <w:rFonts w:ascii="Calibri" w:hAnsi="Calibri"/>
                <w:sz w:val="22"/>
              </w:rPr>
              <w:t>Jul 2, 2026</w:t>
            </w:r>
          </w:p>
        </w:tc>
        <w:tc>
          <w:tcPr>
            <w:tcW w:type="dxa" w:w="1234"/>
          </w:tcPr>
          <w:p>
            <w:r>
              <w:rPr>
                <w:rFonts w:ascii="Calibri" w:hAnsi="Calibri"/>
                <w:sz w:val="22"/>
              </w:rPr>
              <w:t>Equity compensation grant; not a discretionary purchase</w:t>
            </w:r>
          </w:p>
        </w:tc>
      </w:tr>
      <w:tr>
        <w:tc>
          <w:tcPr>
            <w:tcW w:type="dxa" w:w="1234"/>
          </w:tcPr>
          <w:p>
            <w:r>
              <w:rPr>
                <w:rFonts w:ascii="Calibri" w:hAnsi="Calibri"/>
                <w:sz w:val="22"/>
              </w:rPr>
              <w:t>Ronald P. Spogli</w:t>
            </w:r>
          </w:p>
        </w:tc>
        <w:tc>
          <w:tcPr>
            <w:tcW w:type="dxa" w:w="1234"/>
          </w:tcPr>
          <w:p>
            <w:r>
              <w:rPr>
                <w:rFonts w:ascii="Calibri" w:hAnsi="Calibri"/>
                <w:sz w:val="22"/>
              </w:rPr>
              <w:t>Director</w:t>
            </w:r>
          </w:p>
        </w:tc>
        <w:tc>
          <w:tcPr>
            <w:tcW w:type="dxa" w:w="1234"/>
          </w:tcPr>
          <w:p>
            <w:r>
              <w:rPr>
                <w:rFonts w:ascii="Calibri" w:hAnsi="Calibri"/>
                <w:sz w:val="22"/>
              </w:rPr>
              <w:t>Equity Award Grant</w:t>
            </w:r>
          </w:p>
        </w:tc>
        <w:tc>
          <w:tcPr>
            <w:tcW w:type="dxa" w:w="1234"/>
          </w:tcPr>
          <w:p>
            <w:r>
              <w:rPr>
                <w:rFonts w:ascii="Calibri" w:hAnsi="Calibri"/>
                <w:sz w:val="22"/>
              </w:rPr>
              <w:t>145 LTIP Units + 5.58 Common Shares</w:t>
            </w:r>
          </w:p>
        </w:tc>
        <w:tc>
          <w:tcPr>
            <w:tcW w:type="dxa" w:w="1234"/>
          </w:tcPr>
          <w:p>
            <w:r>
              <w:rPr>
                <w:rFonts w:ascii="Calibri" w:hAnsi="Calibri"/>
                <w:sz w:val="22"/>
              </w:rPr>
              <w:t>Jun 30, 2026</w:t>
            </w:r>
          </w:p>
        </w:tc>
        <w:tc>
          <w:tcPr>
            <w:tcW w:type="dxa" w:w="1234"/>
          </w:tcPr>
          <w:p>
            <w:r>
              <w:rPr>
                <w:rFonts w:ascii="Calibri" w:hAnsi="Calibri"/>
                <w:sz w:val="22"/>
              </w:rPr>
              <w:t>Jul 2, 2026</w:t>
            </w:r>
          </w:p>
        </w:tc>
        <w:tc>
          <w:tcPr>
            <w:tcW w:type="dxa" w:w="1234"/>
          </w:tcPr>
          <w:p>
            <w:r>
              <w:rPr>
                <w:rFonts w:ascii="Calibri" w:hAnsi="Calibri"/>
                <w:sz w:val="22"/>
              </w:rPr>
              <w:t>Equity compensation grant; not a discretionary purchase</w:t>
            </w:r>
          </w:p>
        </w:tc>
      </w:tr>
      <w:tr>
        <w:tc>
          <w:tcPr>
            <w:tcW w:type="dxa" w:w="1234"/>
          </w:tcPr>
          <w:p>
            <w:r>
              <w:rPr>
                <w:rFonts w:ascii="Calibri" w:hAnsi="Calibri"/>
                <w:sz w:val="22"/>
              </w:rPr>
              <w:t>Luke J. Petherbridge</w:t>
            </w:r>
          </w:p>
        </w:tc>
        <w:tc>
          <w:tcPr>
            <w:tcW w:type="dxa" w:w="1234"/>
          </w:tcPr>
          <w:p>
            <w:r>
              <w:rPr>
                <w:rFonts w:ascii="Calibri" w:hAnsi="Calibri"/>
                <w:sz w:val="22"/>
              </w:rPr>
              <w:t>Director</w:t>
            </w:r>
          </w:p>
        </w:tc>
        <w:tc>
          <w:tcPr>
            <w:tcW w:type="dxa" w:w="1234"/>
          </w:tcPr>
          <w:p>
            <w:r>
              <w:rPr>
                <w:rFonts w:ascii="Calibri" w:hAnsi="Calibri"/>
                <w:sz w:val="22"/>
              </w:rPr>
              <w:t>Equity Award Grant</w:t>
            </w:r>
          </w:p>
        </w:tc>
        <w:tc>
          <w:tcPr>
            <w:tcW w:type="dxa" w:w="1234"/>
          </w:tcPr>
          <w:p>
            <w:r>
              <w:rPr>
                <w:rFonts w:ascii="Calibri" w:hAnsi="Calibri"/>
                <w:sz w:val="22"/>
              </w:rPr>
              <w:t>126 LTIP Units</w:t>
            </w:r>
          </w:p>
        </w:tc>
        <w:tc>
          <w:tcPr>
            <w:tcW w:type="dxa" w:w="1234"/>
          </w:tcPr>
          <w:p>
            <w:r>
              <w:rPr>
                <w:rFonts w:ascii="Calibri" w:hAnsi="Calibri"/>
                <w:sz w:val="22"/>
              </w:rPr>
              <w:t>Jun 30, 2026</w:t>
            </w:r>
          </w:p>
        </w:tc>
        <w:tc>
          <w:tcPr>
            <w:tcW w:type="dxa" w:w="1234"/>
          </w:tcPr>
          <w:p>
            <w:r>
              <w:rPr>
                <w:rFonts w:ascii="Calibri" w:hAnsi="Calibri"/>
                <w:sz w:val="22"/>
              </w:rPr>
              <w:t>Jul 2, 2026</w:t>
            </w:r>
          </w:p>
        </w:tc>
        <w:tc>
          <w:tcPr>
            <w:tcW w:type="dxa" w:w="1234"/>
          </w:tcPr>
          <w:p>
            <w:r>
              <w:rPr>
                <w:rFonts w:ascii="Calibri" w:hAnsi="Calibri"/>
                <w:sz w:val="22"/>
              </w:rPr>
              <w:t>Equity compensation grant; not a discretionary purchase</w:t>
            </w:r>
          </w:p>
        </w:tc>
      </w:tr>
      <w:tr>
        <w:tc>
          <w:tcPr>
            <w:tcW w:type="dxa" w:w="1234"/>
          </w:tcPr>
          <w:p>
            <w:r>
              <w:rPr>
                <w:rFonts w:ascii="Calibri" w:hAnsi="Calibri"/>
                <w:sz w:val="22"/>
              </w:rPr>
              <w:t>Paul S. Williams</w:t>
            </w:r>
          </w:p>
        </w:tc>
        <w:tc>
          <w:tcPr>
            <w:tcW w:type="dxa" w:w="1234"/>
          </w:tcPr>
          <w:p>
            <w:r>
              <w:rPr>
                <w:rFonts w:ascii="Calibri" w:hAnsi="Calibri"/>
                <w:sz w:val="22"/>
              </w:rPr>
              <w:t>Director</w:t>
            </w:r>
          </w:p>
        </w:tc>
        <w:tc>
          <w:tcPr>
            <w:tcW w:type="dxa" w:w="1234"/>
          </w:tcPr>
          <w:p>
            <w:r>
              <w:rPr>
                <w:rFonts w:ascii="Calibri" w:hAnsi="Calibri"/>
                <w:sz w:val="22"/>
              </w:rPr>
              <w:t>Equity Award Grant</w:t>
            </w:r>
          </w:p>
        </w:tc>
        <w:tc>
          <w:tcPr>
            <w:tcW w:type="dxa" w:w="1234"/>
          </w:tcPr>
          <w:p>
            <w:r>
              <w:rPr>
                <w:rFonts w:ascii="Calibri" w:hAnsi="Calibri"/>
                <w:sz w:val="22"/>
              </w:rPr>
              <w:t>46 Common Shares</w:t>
            </w:r>
          </w:p>
        </w:tc>
        <w:tc>
          <w:tcPr>
            <w:tcW w:type="dxa" w:w="1234"/>
          </w:tcPr>
          <w:p>
            <w:r>
              <w:rPr>
                <w:rFonts w:ascii="Calibri" w:hAnsi="Calibri"/>
                <w:sz w:val="22"/>
              </w:rPr>
              <w:t>Jun 30, 2026</w:t>
            </w:r>
          </w:p>
        </w:tc>
        <w:tc>
          <w:tcPr>
            <w:tcW w:type="dxa" w:w="1234"/>
          </w:tcPr>
          <w:p>
            <w:r>
              <w:rPr>
                <w:rFonts w:ascii="Calibri" w:hAnsi="Calibri"/>
                <w:sz w:val="22"/>
              </w:rPr>
              <w:t>Jul 2, 2026</w:t>
            </w:r>
          </w:p>
        </w:tc>
        <w:tc>
          <w:tcPr>
            <w:tcW w:type="dxa" w:w="1234"/>
          </w:tcPr>
          <w:p>
            <w:r>
              <w:rPr>
                <w:rFonts w:ascii="Calibri" w:hAnsi="Calibri"/>
                <w:sz w:val="22"/>
              </w:rPr>
              <w:t>Equity compensation grant; not a discretionary purchase</w:t>
            </w:r>
          </w:p>
        </w:tc>
      </w:tr>
      <w:tr>
        <w:tc>
          <w:tcPr>
            <w:tcW w:type="dxa" w:w="1234"/>
          </w:tcPr>
          <w:p>
            <w:r>
              <w:rPr>
                <w:rFonts w:ascii="Calibri" w:hAnsi="Calibri"/>
                <w:sz w:val="22"/>
              </w:rPr>
              <w:t>Multiple Directors (11 directors incl. Mitra, Havner, Hawthorne, Owen, Petherbridge, Pipes, Poladian, Shaukat, Spogli, Williams, Gustavson)</w:t>
            </w:r>
          </w:p>
        </w:tc>
        <w:tc>
          <w:tcPr>
            <w:tcW w:type="dxa" w:w="1234"/>
          </w:tcPr>
          <w:p>
            <w:r>
              <w:rPr>
                <w:rFonts w:ascii="Calibri" w:hAnsi="Calibri"/>
                <w:sz w:val="22"/>
              </w:rPr>
              <w:t>Directors</w:t>
            </w:r>
          </w:p>
        </w:tc>
        <w:tc>
          <w:tcPr>
            <w:tcW w:type="dxa" w:w="1234"/>
          </w:tcPr>
          <w:p>
            <w:r>
              <w:rPr>
                <w:rFonts w:ascii="Calibri" w:hAnsi="Calibri"/>
                <w:sz w:val="22"/>
              </w:rPr>
              <w:t>AO LTIP Unit / Stock Option Grant</w:t>
            </w:r>
          </w:p>
        </w:tc>
        <w:tc>
          <w:tcPr>
            <w:tcW w:type="dxa" w:w="1234"/>
          </w:tcPr>
          <w:p>
            <w:r>
              <w:rPr>
                <w:rFonts w:ascii="Calibri" w:hAnsi="Calibri"/>
                <w:sz w:val="22"/>
              </w:rPr>
              <w:t>3,232 units each</w:t>
            </w:r>
          </w:p>
        </w:tc>
        <w:tc>
          <w:tcPr>
            <w:tcW w:type="dxa" w:w="1234"/>
          </w:tcPr>
          <w:p>
            <w:r>
              <w:rPr>
                <w:rFonts w:ascii="Calibri" w:hAnsi="Calibri"/>
                <w:sz w:val="22"/>
              </w:rPr>
              <w:t>May 6, 2026</w:t>
            </w:r>
          </w:p>
        </w:tc>
        <w:tc>
          <w:tcPr>
            <w:tcW w:type="dxa" w:w="1234"/>
          </w:tcPr>
          <w:p>
            <w:r>
              <w:rPr>
                <w:rFonts w:ascii="Calibri" w:hAnsi="Calibri"/>
                <w:sz w:val="22"/>
              </w:rPr>
              <w:t>May 8, 2026</w:t>
            </w:r>
          </w:p>
        </w:tc>
        <w:tc>
          <w:tcPr>
            <w:tcW w:type="dxa" w:w="1234"/>
          </w:tcPr>
          <w:p>
            <w:r>
              <w:rPr>
                <w:rFonts w:ascii="Calibri" w:hAnsi="Calibri"/>
                <w:sz w:val="22"/>
              </w:rPr>
              <w:t>Annual equity compensation grants; not discretionary purchases</w:t>
            </w:r>
          </w:p>
        </w:tc>
      </w:tr>
    </w:tbl>
    <w:p>
      <w:r>
        <w:rPr>
          <w:rFonts w:ascii="Calibri" w:hAnsi="Calibri"/>
          <w:b/>
          <w:color w:val="525866"/>
          <w:sz w:val="22"/>
        </w:rPr>
        <w:t xml:space="preserve">Note: </w:t>
      </w:r>
      <w:r>
        <w:rPr>
          <w:rFonts w:ascii="Calibri" w:hAnsi="Calibri"/>
          <w:color w:val="525866"/>
          <w:sz w:val="22"/>
        </w:rPr>
        <w:t>All transactions above are equity award grants (Form 4 code ‘A’) — these are compensation-related and not open-market purchases or sales. No Form 4 open-market buys (code ‘P’) or open-market sells (code ‘S’) have been filed since Q1 2026 earnings. Shankh Mitra (Board Chairman, Welltower CEO) previously purchased out-of-the-money options at the time of the PS 4.0 leadership transition — that earlier purchase was a notable signal of conviction in the new strategic direction. Source: Insider Transaction Data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