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Public Storage (PSA)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Public Storage</w:t>
            </w:r>
          </w:p>
        </w:tc>
      </w:tr>
      <w:tr>
        <w:tc>
          <w:tcPr>
            <w:tcW w:type="dxa" w:w="4320"/>
          </w:tcPr>
          <w:p>
            <w:r>
              <w:rPr>
                <w:rFonts w:ascii="Calibri" w:hAnsi="Calibri"/>
                <w:b/>
                <w:sz w:val="22"/>
              </w:rPr>
              <w:t>Ticker</w:t>
            </w:r>
          </w:p>
        </w:tc>
        <w:tc>
          <w:tcPr>
            <w:tcW w:type="dxa" w:w="4320"/>
          </w:tcPr>
          <w:p>
            <w:r>
              <w:rPr>
                <w:rFonts w:ascii="Calibri" w:hAnsi="Calibri"/>
                <w:sz w:val="22"/>
              </w:rPr>
              <w:t>PSA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(12:00 PM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w:t>
            </w:r>
          </w:p>
        </w:tc>
        <w:tc>
          <w:tcPr>
            <w:tcW w:type="dxa" w:w="4320"/>
          </w:tcPr>
          <w:p>
            <w:r>
              <w:rPr>
                <w:rFonts w:ascii="Calibri" w:hAnsi="Calibri"/>
                <w:sz w:val="22"/>
              </w:rPr>
              <w:t>Self-Storage REIT</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constructive — consensus is a manageable bar, leading indicators (move-in rates, churn, occupancy) all improved through April, and the NSA acquisition closed July 22, adding a meaningful new earnings driver — but the LA state-of-emergency drag is expected to worsen year-over-year in Q2/Q3, and management explicitly telegraphed it would not raise guidance until the busy season was in hand, making a guidance raise the single biggest swing factor for the stock.</w:t>
      </w:r>
    </w:p>
    <w:p>
      <w:r>
        <w:rPr>
          <w:rFonts w:ascii="Calibri" w:hAnsi="Calibri"/>
          <w:color w:val="525866"/>
          <w:sz w:val="22"/>
        </w:rPr>
        <w:t>Heading into Q2 2026 earnings, Public Storage's setup is cautiously positive. The company beat Q1 consensus on Core FFO ($4.22 vs. ~$4.12 expected), driven by better-than-expected move-in rates (–2.4% vs. guidance of down mid-single digits), occupancy that was positive year-over-year (+0.4% vs. guidance of flat), and a material reduction in customer churn — all leading indicators that continued into April with move-in rates turning flat to slightly positive. The bar for Q2 is not demanding: consensus Core FFO sits at ~$4.25 per share, roughly in line with Q2 2025's $4.28 actual, and same-store NOI consensus is modestly negative (–1.6%), leaving room for an operational beat. However, management was explicit on the Q1 call that it would not raise full-year guidance until busy-season results were in hand, so the key question is whether the May–July peak season delivered enough to justify a guidance raise — which, at PSA's current ~31.6x NTM P/E, would be the primary catalyst for a sustained re-rating. The most important wildcard is the NSA acquisition, which closed July 22 (one week before earnings): the first consolidated contribution from over 1,000 properties will be reported for the first time, and management's updated accretion commentary and synergy timeline will be closely scrutinized. The LA state-of-emergency pricing cap (assumed –80 bps to same-store performance for the full year) is expected to be a larger year-over-year headwind in Q2 and Q3 than in Q1 due to comp timing, providing a known but potentially underappreciated drag on same-store revenue growth.</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Core FFO (~$4.25, roughly flat YoY), but same-store NOI growth consensus of –1.6% leaves room for an upside surprise if the busy season delivered on the positive April trends. Same-store occupancy is the bigger swing factor — any improvement above the 92.4% consensus would signal pricing power is returning faster than expected.</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FFO per Share — Diluted ($)</w:t>
            </w:r>
          </w:p>
        </w:tc>
        <w:tc>
          <w:tcPr>
            <w:tcW w:type="dxa" w:w="1234"/>
          </w:tcPr>
          <w:p>
            <w:r>
              <w:rPr>
                <w:rFonts w:ascii="Calibri" w:hAnsi="Calibri"/>
                <w:sz w:val="22"/>
              </w:rPr>
              <w:t>$4.22</w:t>
            </w:r>
          </w:p>
        </w:tc>
        <w:tc>
          <w:tcPr>
            <w:tcW w:type="dxa" w:w="1234"/>
          </w:tcPr>
          <w:p>
            <w:r>
              <w:rPr>
                <w:rFonts w:ascii="Calibri" w:hAnsi="Calibri"/>
                <w:sz w:val="22"/>
              </w:rPr>
              <w:t>$4.28</w:t>
            </w:r>
          </w:p>
        </w:tc>
        <w:tc>
          <w:tcPr>
            <w:tcW w:type="dxa" w:w="1234"/>
          </w:tcPr>
          <w:p>
            <w:r>
              <w:rPr>
                <w:rFonts w:ascii="Calibri" w:hAnsi="Calibri"/>
                <w:sz w:val="22"/>
              </w:rPr>
              <w:t>$4.25</w:t>
            </w:r>
          </w:p>
        </w:tc>
        <w:tc>
          <w:tcPr>
            <w:tcW w:type="dxa" w:w="1234"/>
          </w:tcPr>
          <w:p>
            <w:r>
              <w:rPr>
                <w:rFonts w:ascii="Calibri" w:hAnsi="Calibri"/>
                <w:sz w:val="22"/>
              </w:rPr>
              <w:t>–0.7%</w:t>
            </w:r>
          </w:p>
        </w:tc>
        <w:tc>
          <w:tcPr>
            <w:tcW w:type="dxa" w:w="1234"/>
          </w:tcPr>
          <w:p>
            <w:r>
              <w:rPr>
                <w:rFonts w:ascii="Calibri" w:hAnsi="Calibri"/>
                <w:sz w:val="22"/>
              </w:rPr>
              <w:t>$16.68 midpoint ($16.35–$17.00)</w:t>
            </w:r>
          </w:p>
        </w:tc>
        <w:tc>
          <w:tcPr>
            <w:tcW w:type="dxa" w:w="1234"/>
          </w:tcPr>
          <w:p>
            <w:r>
              <w:rPr>
                <w:rFonts w:ascii="Calibri" w:hAnsi="Calibri"/>
                <w:sz w:val="22"/>
              </w:rPr>
              <w:t>FY consensus $16.94 vs. guidance midpoint $16.68; +1.6% above midpoint</w:t>
            </w:r>
          </w:p>
        </w:tc>
      </w:tr>
      <w:tr>
        <w:tc>
          <w:tcPr>
            <w:tcW w:type="dxa" w:w="1234"/>
          </w:tcPr>
          <w:p>
            <w:r>
              <w:rPr>
                <w:rFonts w:ascii="Calibri" w:hAnsi="Calibri"/>
                <w:sz w:val="22"/>
              </w:rPr>
              <w:t>Same-Store Occupancy (%)</w:t>
            </w:r>
          </w:p>
        </w:tc>
        <w:tc>
          <w:tcPr>
            <w:tcW w:type="dxa" w:w="1234"/>
          </w:tcPr>
          <w:p>
            <w:r>
              <w:rPr>
                <w:rFonts w:ascii="Calibri" w:hAnsi="Calibri"/>
                <w:sz w:val="22"/>
              </w:rPr>
              <w:t>91.5%</w:t>
            </w:r>
          </w:p>
        </w:tc>
        <w:tc>
          <w:tcPr>
            <w:tcW w:type="dxa" w:w="1234"/>
          </w:tcPr>
          <w:p>
            <w:r>
              <w:rPr>
                <w:rFonts w:ascii="Calibri" w:hAnsi="Calibri"/>
                <w:sz w:val="22"/>
              </w:rPr>
              <w:t>92.3%</w:t>
            </w:r>
          </w:p>
        </w:tc>
        <w:tc>
          <w:tcPr>
            <w:tcW w:type="dxa" w:w="1234"/>
          </w:tcPr>
          <w:p>
            <w:r>
              <w:rPr>
                <w:rFonts w:ascii="Calibri" w:hAnsi="Calibri"/>
                <w:sz w:val="22"/>
              </w:rPr>
              <w:t>92.4%</w:t>
            </w:r>
          </w:p>
        </w:tc>
        <w:tc>
          <w:tcPr>
            <w:tcW w:type="dxa" w:w="1234"/>
          </w:tcPr>
          <w:p>
            <w:r>
              <w:rPr>
                <w:rFonts w:ascii="Calibri" w:hAnsi="Calibri"/>
                <w:sz w:val="22"/>
              </w:rPr>
              <w:t>+0.1 ppt</w:t>
            </w:r>
          </w:p>
        </w:tc>
        <w:tc>
          <w:tcPr>
            <w:tcW w:type="dxa" w:w="1234"/>
          </w:tcPr>
          <w:p>
            <w:r>
              <w:rPr>
                <w:rFonts w:ascii="Calibri" w:hAnsi="Calibri"/>
                <w:sz w:val="22"/>
              </w:rPr>
              <w:t>Flat YoY (guidance assumption)</w:t>
            </w:r>
          </w:p>
        </w:tc>
        <w:tc>
          <w:tcPr>
            <w:tcW w:type="dxa" w:w="1234"/>
          </w:tcPr>
          <w:p>
            <w:r>
              <w:rPr>
                <w:rFonts w:ascii="Calibri" w:hAnsi="Calibri"/>
                <w:sz w:val="22"/>
              </w:rPr>
              <w:t>Consensus slightly above guidance assumption</w:t>
            </w:r>
          </w:p>
        </w:tc>
      </w:tr>
      <w:tr>
        <w:tc>
          <w:tcPr>
            <w:tcW w:type="dxa" w:w="1234"/>
          </w:tcPr>
          <w:p>
            <w:r>
              <w:rPr>
                <w:rFonts w:ascii="Calibri" w:hAnsi="Calibri"/>
                <w:sz w:val="22"/>
              </w:rPr>
              <w:t>Same-Store Revenue Growth (%)</w:t>
            </w:r>
          </w:p>
        </w:tc>
        <w:tc>
          <w:tcPr>
            <w:tcW w:type="dxa" w:w="1234"/>
          </w:tcPr>
          <w:p>
            <w:r>
              <w:rPr>
                <w:rFonts w:ascii="Calibri" w:hAnsi="Calibri"/>
                <w:sz w:val="22"/>
              </w:rPr>
              <w:t>–0.0% (flat)</w:t>
            </w:r>
          </w:p>
        </w:tc>
        <w:tc>
          <w:tcPr>
            <w:tcW w:type="dxa" w:w="1234"/>
          </w:tcPr>
          <w:p>
            <w:r>
              <w:rPr>
                <w:rFonts w:ascii="Calibri" w:hAnsi="Calibri"/>
                <w:sz w:val="22"/>
              </w:rPr>
              <w:t>+0.2%</w:t>
            </w:r>
          </w:p>
        </w:tc>
        <w:tc>
          <w:tcPr>
            <w:tcW w:type="dxa" w:w="1234"/>
          </w:tcPr>
          <w:p>
            <w:r>
              <w:rPr>
                <w:rFonts w:ascii="Calibri" w:hAnsi="Calibri"/>
                <w:sz w:val="22"/>
              </w:rPr>
              <w:t>–0.3%</w:t>
            </w:r>
          </w:p>
        </w:tc>
        <w:tc>
          <w:tcPr>
            <w:tcW w:type="dxa" w:w="1234"/>
          </w:tcPr>
          <w:p>
            <w:r>
              <w:rPr>
                <w:rFonts w:ascii="Calibri" w:hAnsi="Calibri"/>
                <w:sz w:val="22"/>
              </w:rPr>
              <w:t>∼–0.5 ppt YoY</w:t>
            </w:r>
          </w:p>
        </w:tc>
        <w:tc>
          <w:tcPr>
            <w:tcW w:type="dxa" w:w="1234"/>
          </w:tcPr>
          <w:p>
            <w:r>
              <w:rPr>
                <w:rFonts w:ascii="Calibri" w:hAnsi="Calibri"/>
                <w:sz w:val="22"/>
              </w:rPr>
              <w:t>(2.2)% to 0.0% (midpoint –1.1%)</w:t>
            </w:r>
          </w:p>
        </w:tc>
        <w:tc>
          <w:tcPr>
            <w:tcW w:type="dxa" w:w="1234"/>
          </w:tcPr>
          <w:p>
            <w:r>
              <w:rPr>
                <w:rFonts w:ascii="Calibri" w:hAnsi="Calibri"/>
                <w:sz w:val="22"/>
              </w:rPr>
              <w:t>Consensus –0.3% is above guidance midpoint of –1.1%; ~+80 bps cushion</w:t>
            </w:r>
          </w:p>
        </w:tc>
      </w:tr>
      <w:tr>
        <w:tc>
          <w:tcPr>
            <w:tcW w:type="dxa" w:w="1234"/>
          </w:tcPr>
          <w:p>
            <w:r>
              <w:rPr>
                <w:rFonts w:ascii="Calibri" w:hAnsi="Calibri"/>
                <w:sz w:val="22"/>
              </w:rPr>
              <w:t>Same-Store NOI Growth (%)</w:t>
            </w:r>
          </w:p>
        </w:tc>
        <w:tc>
          <w:tcPr>
            <w:tcW w:type="dxa" w:w="1234"/>
          </w:tcPr>
          <w:p>
            <w:r>
              <w:rPr>
                <w:rFonts w:ascii="Calibri" w:hAnsi="Calibri"/>
                <w:sz w:val="22"/>
              </w:rPr>
              <w:t>+0.4%</w:t>
            </w:r>
          </w:p>
        </w:tc>
        <w:tc>
          <w:tcPr>
            <w:tcW w:type="dxa" w:w="1234"/>
          </w:tcPr>
          <w:p>
            <w:r>
              <w:rPr>
                <w:rFonts w:ascii="Calibri" w:hAnsi="Calibri"/>
                <w:sz w:val="22"/>
              </w:rPr>
              <w:t>–0.6%</w:t>
            </w:r>
          </w:p>
        </w:tc>
        <w:tc>
          <w:tcPr>
            <w:tcW w:type="dxa" w:w="1234"/>
          </w:tcPr>
          <w:p>
            <w:r>
              <w:rPr>
                <w:rFonts w:ascii="Calibri" w:hAnsi="Calibri"/>
                <w:sz w:val="22"/>
              </w:rPr>
              <w:t>–1.6%</w:t>
            </w:r>
          </w:p>
        </w:tc>
        <w:tc>
          <w:tcPr>
            <w:tcW w:type="dxa" w:w="1234"/>
          </w:tcPr>
          <w:p>
            <w:r>
              <w:rPr>
                <w:rFonts w:ascii="Calibri" w:hAnsi="Calibri"/>
                <w:sz w:val="22"/>
              </w:rPr>
              <w:t>∼–1.0 ppt YoY</w:t>
            </w:r>
          </w:p>
        </w:tc>
        <w:tc>
          <w:tcPr>
            <w:tcW w:type="dxa" w:w="1234"/>
          </w:tcPr>
          <w:p>
            <w:r>
              <w:rPr>
                <w:rFonts w:ascii="Calibri" w:hAnsi="Calibri"/>
                <w:sz w:val="22"/>
              </w:rPr>
              <w:t>(3.9)% to (0.5)% (midpoint –2.2%)</w:t>
            </w:r>
          </w:p>
        </w:tc>
        <w:tc>
          <w:tcPr>
            <w:tcW w:type="dxa" w:w="1234"/>
          </w:tcPr>
          <w:p>
            <w:r>
              <w:rPr>
                <w:rFonts w:ascii="Calibri" w:hAnsi="Calibri"/>
                <w:sz w:val="22"/>
              </w:rPr>
              <w:t>Consensus –1.6% is above guidance midpoint of –2.2%; ~+60 bps cushion</w:t>
            </w:r>
          </w:p>
        </w:tc>
      </w:tr>
    </w:tbl>
    <w:p>
      <w:r>
        <w:rPr>
          <w:rFonts w:ascii="Calibri" w:hAnsi="Calibri"/>
          <w:color w:val="525866"/>
          <w:sz w:val="22"/>
        </w:rPr>
        <w:t>Source: Visible Alpha Consensus and Actuals Data; PSA Q1 2026 Earnings Release (April 27, 2026). FY 2026 guidance from Q1 2026 earnings release. Consensus vs. guidance delta calculated vs. guidance midpoint.</w:t>
      </w:r>
    </w:p>
    <w:p>
      <w:pPr>
        <w:pStyle w:val="Heading3"/>
      </w:pPr>
      <w:r>
        <w:rPr>
          <w:rFonts w:ascii="Calibri" w:hAnsi="Calibri"/>
          <w:b/>
          <w:color w:val="3B4259"/>
          <w:sz w:val="24"/>
        </w:rPr>
        <w:t>Table 2 — Beat/Miss History: Core FFO per Share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$4.20</w:t>
            </w:r>
          </w:p>
        </w:tc>
        <w:tc>
          <w:tcPr>
            <w:tcW w:type="dxa" w:w="1728"/>
          </w:tcPr>
          <w:p>
            <w:r>
              <w:rPr>
                <w:rFonts w:ascii="Calibri" w:hAnsi="Calibri"/>
                <w:sz w:val="22"/>
              </w:rPr>
              <w:t>$4.25</w:t>
            </w:r>
          </w:p>
        </w:tc>
        <w:tc>
          <w:tcPr>
            <w:tcW w:type="dxa" w:w="1728"/>
          </w:tcPr>
          <w:p>
            <w:r>
              <w:rPr>
                <w:rFonts w:ascii="Calibri" w:hAnsi="Calibri"/>
                <w:sz w:val="22"/>
              </w:rPr>
              <w:t>–1.2%</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$4.21</w:t>
            </w:r>
          </w:p>
        </w:tc>
        <w:tc>
          <w:tcPr>
            <w:tcW w:type="dxa" w:w="1728"/>
          </w:tcPr>
          <w:p>
            <w:r>
              <w:rPr>
                <w:rFonts w:ascii="Calibri" w:hAnsi="Calibri"/>
                <w:sz w:val="22"/>
              </w:rPr>
              <w:t>$4.24</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$4.12</w:t>
            </w:r>
          </w:p>
        </w:tc>
        <w:tc>
          <w:tcPr>
            <w:tcW w:type="dxa" w:w="1728"/>
          </w:tcPr>
          <w:p>
            <w:r>
              <w:rPr>
                <w:rFonts w:ascii="Calibri" w:hAnsi="Calibri"/>
                <w:sz w:val="22"/>
              </w:rPr>
              <w:t>$4.06</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$4.28</w:t>
            </w:r>
          </w:p>
        </w:tc>
        <w:tc>
          <w:tcPr>
            <w:tcW w:type="dxa" w:w="1728"/>
          </w:tcPr>
          <w:p>
            <w:r>
              <w:rPr>
                <w:rFonts w:ascii="Calibri" w:hAnsi="Calibri"/>
                <w:sz w:val="22"/>
              </w:rPr>
              <w:t>$4.25</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$4.31</w:t>
            </w:r>
          </w:p>
        </w:tc>
        <w:tc>
          <w:tcPr>
            <w:tcW w:type="dxa" w:w="1728"/>
          </w:tcPr>
          <w:p>
            <w:r>
              <w:rPr>
                <w:rFonts w:ascii="Calibri" w:hAnsi="Calibri"/>
                <w:sz w:val="22"/>
              </w:rPr>
              <w:t>$4.24</w:t>
            </w:r>
          </w:p>
        </w:tc>
        <w:tc>
          <w:tcPr>
            <w:tcW w:type="dxa" w:w="1728"/>
          </w:tcPr>
          <w:p>
            <w:r>
              <w:rPr>
                <w:rFonts w:ascii="Calibri" w:hAnsi="Calibri"/>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$4.26</w:t>
            </w:r>
          </w:p>
        </w:tc>
        <w:tc>
          <w:tcPr>
            <w:tcW w:type="dxa" w:w="1728"/>
          </w:tcPr>
          <w:p>
            <w:r>
              <w:rPr>
                <w:rFonts w:ascii="Calibri" w:hAnsi="Calibri"/>
                <w:sz w:val="22"/>
              </w:rPr>
              <w:t>$4.21</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$4.22</w:t>
            </w:r>
          </w:p>
        </w:tc>
        <w:tc>
          <w:tcPr>
            <w:tcW w:type="dxa" w:w="1728"/>
          </w:tcPr>
          <w:p>
            <w:r>
              <w:rPr>
                <w:rFonts w:ascii="Calibri" w:hAnsi="Calibri"/>
                <w:sz w:val="22"/>
              </w:rPr>
              <w:t>$4.12</w:t>
            </w:r>
          </w:p>
        </w:tc>
        <w:tc>
          <w:tcPr>
            <w:tcW w:type="dxa" w:w="1728"/>
          </w:tcPr>
          <w:p>
            <w:r>
              <w:rPr>
                <w:rFonts w:ascii="Calibri" w:hAnsi="Calibri"/>
                <w:sz w:val="22"/>
              </w:rPr>
              <w:t>+2.4%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PSA has beaten Core FFO consensus in five of the last six reported quarters, with the two misses in Q3–Q4 2024 coinciding with the trough of the same-store revenue cycle; the more recent trend (Q1 2025 through Q1 2026) is a consistent beat streak, suggesting the bar is being set conservatively. Source: Visible Alpha Consensus and Actuals Data.</w:t>
      </w:r>
    </w:p>
    <w:p>
      <w:pPr>
        <w:pStyle w:val="Heading3"/>
      </w:pPr>
      <w:r>
        <w:rPr>
          <w:rFonts w:ascii="Calibri" w:hAnsi="Calibri"/>
          <w:b/>
          <w:color w:val="3B4259"/>
          <w:sz w:val="24"/>
        </w:rPr>
        <w:t>Table 3 — Beat/Miss History: Same-Store Occupancy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(ppt)</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92.7%</w:t>
            </w:r>
          </w:p>
        </w:tc>
        <w:tc>
          <w:tcPr>
            <w:tcW w:type="dxa" w:w="1728"/>
          </w:tcPr>
          <w:p>
            <w:r>
              <w:rPr>
                <w:rFonts w:ascii="Calibri" w:hAnsi="Calibri"/>
                <w:sz w:val="22"/>
              </w:rPr>
              <w:t>92.7%</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Q4 2024</w:t>
            </w:r>
          </w:p>
        </w:tc>
        <w:tc>
          <w:tcPr>
            <w:tcW w:type="dxa" w:w="1728"/>
          </w:tcPr>
          <w:p>
            <w:r>
              <w:rPr>
                <w:rFonts w:ascii="Calibri" w:hAnsi="Calibri"/>
                <w:sz w:val="22"/>
              </w:rPr>
              <w:t>91.8%</w:t>
            </w:r>
          </w:p>
        </w:tc>
        <w:tc>
          <w:tcPr>
            <w:tcW w:type="dxa" w:w="1728"/>
          </w:tcPr>
          <w:p>
            <w:r>
              <w:rPr>
                <w:rFonts w:ascii="Calibri" w:hAnsi="Calibri"/>
                <w:sz w:val="22"/>
              </w:rPr>
              <w:t>91.9%</w:t>
            </w:r>
          </w:p>
        </w:tc>
        <w:tc>
          <w:tcPr>
            <w:tcW w:type="dxa" w:w="1728"/>
          </w:tcPr>
          <w:p>
            <w:r>
              <w:rPr>
                <w:rFonts w:ascii="Calibri" w:hAnsi="Calibri"/>
                <w:sz w:val="22"/>
              </w:rPr>
              <w:t>–0.1</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91.1%</w:t>
            </w:r>
          </w:p>
        </w:tc>
        <w:tc>
          <w:tcPr>
            <w:tcW w:type="dxa" w:w="1728"/>
          </w:tcPr>
          <w:p>
            <w:r>
              <w:rPr>
                <w:rFonts w:ascii="Calibri" w:hAnsi="Calibri"/>
                <w:sz w:val="22"/>
              </w:rPr>
              <w:t>91.6%</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92.3%</w:t>
            </w:r>
          </w:p>
        </w:tc>
        <w:tc>
          <w:tcPr>
            <w:tcW w:type="dxa" w:w="1728"/>
          </w:tcPr>
          <w:p>
            <w:r>
              <w:rPr>
                <w:rFonts w:ascii="Calibri" w:hAnsi="Calibri"/>
                <w:sz w:val="22"/>
              </w:rPr>
              <w:t>92.6%</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91.9%</w:t>
            </w:r>
          </w:p>
        </w:tc>
        <w:tc>
          <w:tcPr>
            <w:tcW w:type="dxa" w:w="1728"/>
          </w:tcPr>
          <w:p>
            <w:r>
              <w:rPr>
                <w:rFonts w:ascii="Calibri" w:hAnsi="Calibri"/>
                <w:sz w:val="22"/>
              </w:rPr>
              <w:t>92.1%</w:t>
            </w:r>
          </w:p>
        </w:tc>
        <w:tc>
          <w:tcPr>
            <w:tcW w:type="dxa" w:w="1728"/>
          </w:tcPr>
          <w:p>
            <w:r>
              <w:rPr>
                <w:rFonts w:ascii="Calibri" w:hAnsi="Calibri"/>
                <w:sz w:val="22"/>
              </w:rPr>
              <w:t>–0.2</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91.1%</w:t>
            </w:r>
          </w:p>
        </w:tc>
        <w:tc>
          <w:tcPr>
            <w:tcW w:type="dxa" w:w="1728"/>
          </w:tcPr>
          <w:p>
            <w:r>
              <w:rPr>
                <w:rFonts w:ascii="Calibri" w:hAnsi="Calibri"/>
                <w:sz w:val="22"/>
              </w:rPr>
              <w:t>91.4%</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91.5%</w:t>
            </w:r>
          </w:p>
        </w:tc>
        <w:tc>
          <w:tcPr>
            <w:tcW w:type="dxa" w:w="1728"/>
          </w:tcPr>
          <w:p>
            <w:r>
              <w:rPr>
                <w:rFonts w:ascii="Calibri" w:hAnsi="Calibri"/>
                <w:sz w:val="22"/>
              </w:rPr>
              <w:t>91.6%</w:t>
            </w:r>
          </w:p>
        </w:tc>
        <w:tc>
          <w:tcPr>
            <w:tcW w:type="dxa" w:w="1728"/>
          </w:tcPr>
          <w:p>
            <w:r>
              <w:rPr>
                <w:rFonts w:ascii="Calibri" w:hAnsi="Calibri"/>
                <w:sz w:val="22"/>
              </w:rPr>
              <w:t>–0.1</w:t>
            </w:r>
          </w:p>
        </w:tc>
        <w:tc>
          <w:tcPr>
            <w:tcW w:type="dxa" w:w="1728"/>
          </w:tcPr>
          <w:p>
            <w:r>
              <w:rPr>
                <w:rFonts w:ascii="Calibri" w:hAnsi="Calibri"/>
                <w:sz w:val="22"/>
              </w:rPr>
              <w:t>Slight Miss / In-Line</w:t>
            </w:r>
          </w:p>
        </w:tc>
      </w:tr>
    </w:tbl>
    <w:p>
      <w:r>
        <w:rPr>
          <w:rFonts w:ascii="Calibri" w:hAnsi="Calibri"/>
          <w:b/>
          <w:color w:val="525866"/>
          <w:sz w:val="22"/>
        </w:rPr>
        <w:t xml:space="preserve">Pattern: </w:t>
      </w:r>
      <w:r>
        <w:rPr>
          <w:rFonts w:ascii="Calibri" w:hAnsi="Calibri"/>
          <w:color w:val="525866"/>
          <w:sz w:val="22"/>
        </w:rPr>
        <w:t>Same-store occupancy has consistently come in at or slightly below consensus over the past several quarters, though the gap has been narrowing. Q1 2026 was the closest miss in the series, and management's April commentary (occupancy flat to slightly better YoY) suggests Q2 could be the first clean beat on this metric.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was reaffirmed unchanged at the Q1 print (April 27, 2026) — management explicitly declined to raise despite a Q1 beat, citing busy-season uncertainty and the pending NSA close. The most important post-Q1 development is the NSA acquisition closing on July 22, 2026, which will require management to update its accretion and synergy commentary on the Q2 call. A guidance raise at Q2 would be the first since the original FY 2026 guidance was set.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April 27–28,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Core FFO per Share — FY 2026</w:t>
            </w:r>
          </w:p>
        </w:tc>
        <w:tc>
          <w:tcPr>
            <w:tcW w:type="dxa" w:w="1728"/>
          </w:tcPr>
          <w:p>
            <w:r>
              <w:rPr>
                <w:rFonts w:ascii="Calibri" w:hAnsi="Calibri"/>
                <w:sz w:val="22"/>
              </w:rPr>
              <w:t>$16.35 – $17.00 (midpoint $16.68)</w:t>
            </w:r>
          </w:p>
        </w:tc>
        <w:tc>
          <w:tcPr>
            <w:tcW w:type="dxa" w:w="1728"/>
          </w:tcPr>
          <w:p>
            <w:r>
              <w:rPr>
                <w:rFonts w:ascii="Calibri" w:hAnsi="Calibri"/>
                <w:sz w:val="22"/>
              </w:rPr>
              <w:t>Unchanged</w:t>
            </w:r>
          </w:p>
        </w:tc>
        <w:tc>
          <w:tcPr>
            <w:tcW w:type="dxa" w:w="1728"/>
          </w:tcPr>
          <w:p>
            <w:r>
              <w:rPr>
                <w:rFonts w:ascii="Calibri" w:hAnsi="Calibri"/>
                <w:sz w:val="22"/>
              </w:rPr>
              <w:t>$16.94</w:t>
            </w:r>
          </w:p>
        </w:tc>
        <w:tc>
          <w:tcPr>
            <w:tcW w:type="dxa" w:w="1728"/>
          </w:tcPr>
          <w:p>
            <w:r>
              <w:rPr>
                <w:rFonts w:ascii="Calibri" w:hAnsi="Calibri"/>
                <w:sz w:val="22"/>
              </w:rPr>
              <w:t>Reaffirmed at Q1 print; management declined to raise despite Q1 beat, citing busy season ahead and NSA close pending. Consensus sits $0.26 above midpoint. NSA accretion expected breakeven in 2026, rising to $0.35–$0.50/share at stabilization (2028–2029).</w:t>
            </w:r>
          </w:p>
        </w:tc>
      </w:tr>
      <w:tr>
        <w:tc>
          <w:tcPr>
            <w:tcW w:type="dxa" w:w="1728"/>
          </w:tcPr>
          <w:p>
            <w:r>
              <w:rPr>
                <w:rFonts w:ascii="Calibri" w:hAnsi="Calibri"/>
                <w:sz w:val="22"/>
              </w:rPr>
              <w:t>Same-Store Revenue Growth — FY 2026</w:t>
            </w:r>
          </w:p>
        </w:tc>
        <w:tc>
          <w:tcPr>
            <w:tcW w:type="dxa" w:w="1728"/>
          </w:tcPr>
          <w:p>
            <w:r>
              <w:rPr>
                <w:rFonts w:ascii="Calibri" w:hAnsi="Calibri"/>
                <w:sz w:val="22"/>
              </w:rPr>
              <w:t>(2.2)% to 0.0% (midpoint –1.1%)</w:t>
            </w:r>
          </w:p>
        </w:tc>
        <w:tc>
          <w:tcPr>
            <w:tcW w:type="dxa" w:w="1728"/>
          </w:tcPr>
          <w:p>
            <w:r>
              <w:rPr>
                <w:rFonts w:ascii="Calibri" w:hAnsi="Calibri"/>
                <w:sz w:val="22"/>
              </w:rPr>
              <w:t>Unchanged</w:t>
            </w:r>
          </w:p>
        </w:tc>
        <w:tc>
          <w:tcPr>
            <w:tcW w:type="dxa" w:w="1728"/>
          </w:tcPr>
          <w:p>
            <w:r>
              <w:rPr>
                <w:rFonts w:ascii="Calibri" w:hAnsi="Calibri"/>
                <w:sz w:val="22"/>
              </w:rPr>
              <w:t>–0.1%</w:t>
            </w:r>
          </w:p>
        </w:tc>
        <w:tc>
          <w:tcPr>
            <w:tcW w:type="dxa" w:w="1728"/>
          </w:tcPr>
          <w:p>
            <w:r>
              <w:rPr>
                <w:rFonts w:ascii="Calibri" w:hAnsi="Calibri"/>
                <w:sz w:val="22"/>
              </w:rPr>
              <w:t>Guidance assumes LA state of emergency in place all year (–80 bps impact). LA drag expected to worsen YoY in Q2/Q3 due to comp timing. Consensus near top of range.</w:t>
            </w:r>
          </w:p>
        </w:tc>
      </w:tr>
      <w:tr>
        <w:tc>
          <w:tcPr>
            <w:tcW w:type="dxa" w:w="1728"/>
          </w:tcPr>
          <w:p>
            <w:r>
              <w:rPr>
                <w:rFonts w:ascii="Calibri" w:hAnsi="Calibri"/>
                <w:sz w:val="22"/>
              </w:rPr>
              <w:t>Same-Store Expense Growth — FY 2026</w:t>
            </w:r>
          </w:p>
        </w:tc>
        <w:tc>
          <w:tcPr>
            <w:tcW w:type="dxa" w:w="1728"/>
          </w:tcPr>
          <w:p>
            <w:r>
              <w:rPr>
                <w:rFonts w:ascii="Calibri" w:hAnsi="Calibri"/>
                <w:sz w:val="22"/>
              </w:rPr>
              <w:t>1.5% to 2.8% (midpoint 2.15%)</w:t>
            </w:r>
          </w:p>
        </w:tc>
        <w:tc>
          <w:tcPr>
            <w:tcW w:type="dxa" w:w="1728"/>
          </w:tcPr>
          <w:p>
            <w:r>
              <w:rPr>
                <w:rFonts w:ascii="Calibri" w:hAnsi="Calibri"/>
                <w:sz w:val="22"/>
              </w:rPr>
              <w:t>Unchanged</w:t>
            </w:r>
          </w:p>
        </w:tc>
        <w:tc>
          <w:tcPr>
            <w:tcW w:type="dxa" w:w="1728"/>
          </w:tcPr>
          <w:p>
            <w:r>
              <w:rPr>
                <w:rFonts w:ascii="Calibri" w:hAnsi="Calibri"/>
                <w:sz w:val="22"/>
              </w:rPr>
              <w:t>N/A — not tracked in VA consensus</w:t>
            </w:r>
          </w:p>
        </w:tc>
        <w:tc>
          <w:tcPr>
            <w:tcW w:type="dxa" w:w="1728"/>
          </w:tcPr>
          <w:p>
            <w:r>
              <w:rPr>
                <w:rFonts w:ascii="Calibri" w:hAnsi="Calibri"/>
                <w:sz w:val="22"/>
              </w:rPr>
              <w:t>Q1 expense growth was –1.1% (well below guidance range), partly due to early property tax appeal wins (~$3M pulled forward from Q2). Expense growth expected to tick higher in Q2/Q3 toward guidance midpoint.</w:t>
            </w:r>
          </w:p>
        </w:tc>
      </w:tr>
      <w:tr>
        <w:tc>
          <w:tcPr>
            <w:tcW w:type="dxa" w:w="1728"/>
          </w:tcPr>
          <w:p>
            <w:r>
              <w:rPr>
                <w:rFonts w:ascii="Calibri" w:hAnsi="Calibri"/>
                <w:sz w:val="22"/>
              </w:rPr>
              <w:t>Same-Store NOI Growth — FY 2026</w:t>
            </w:r>
          </w:p>
        </w:tc>
        <w:tc>
          <w:tcPr>
            <w:tcW w:type="dxa" w:w="1728"/>
          </w:tcPr>
          <w:p>
            <w:r>
              <w:rPr>
                <w:rFonts w:ascii="Calibri" w:hAnsi="Calibri"/>
                <w:sz w:val="22"/>
              </w:rPr>
              <w:t>(3.9)% to (0.5)% (midpoint –2.2%)</w:t>
            </w:r>
          </w:p>
        </w:tc>
        <w:tc>
          <w:tcPr>
            <w:tcW w:type="dxa" w:w="1728"/>
          </w:tcPr>
          <w:p>
            <w:r>
              <w:rPr>
                <w:rFonts w:ascii="Calibri" w:hAnsi="Calibri"/>
                <w:sz w:val="22"/>
              </w:rPr>
              <w:t>Unchanged</w:t>
            </w:r>
          </w:p>
        </w:tc>
        <w:tc>
          <w:tcPr>
            <w:tcW w:type="dxa" w:w="1728"/>
          </w:tcPr>
          <w:p>
            <w:r>
              <w:rPr>
                <w:rFonts w:ascii="Calibri" w:hAnsi="Calibri"/>
                <w:sz w:val="22"/>
              </w:rPr>
              <w:t>–0.6%</w:t>
            </w:r>
          </w:p>
        </w:tc>
        <w:tc>
          <w:tcPr>
            <w:tcW w:type="dxa" w:w="1728"/>
          </w:tcPr>
          <w:p>
            <w:r>
              <w:rPr>
                <w:rFonts w:ascii="Calibri" w:hAnsi="Calibri"/>
                <w:sz w:val="22"/>
              </w:rPr>
              <w:t>Consensus near top of guidance range, implying the Street expects operational outperformance vs. management's conservative midpoint.</w:t>
            </w:r>
          </w:p>
        </w:tc>
      </w:tr>
      <w:tr>
        <w:tc>
          <w:tcPr>
            <w:tcW w:type="dxa" w:w="1728"/>
          </w:tcPr>
          <w:p>
            <w:r>
              <w:rPr>
                <w:rFonts w:ascii="Calibri" w:hAnsi="Calibri"/>
                <w:sz w:val="22"/>
              </w:rPr>
              <w:t>Non-Same-Store NOI — FY 2026</w:t>
            </w:r>
          </w:p>
        </w:tc>
        <w:tc>
          <w:tcPr>
            <w:tcW w:type="dxa" w:w="1728"/>
          </w:tcPr>
          <w:p>
            <w:r>
              <w:rPr>
                <w:rFonts w:ascii="Calibri" w:hAnsi="Calibri"/>
                <w:sz w:val="22"/>
              </w:rPr>
              <w:t>$335M – $355M (midpoint $345M)</w:t>
            </w:r>
          </w:p>
        </w:tc>
        <w:tc>
          <w:tcPr>
            <w:tcW w:type="dxa" w:w="1728"/>
          </w:tcPr>
          <w:p>
            <w:r>
              <w:rPr>
                <w:rFonts w:ascii="Calibri" w:hAnsi="Calibri"/>
                <w:sz w:val="22"/>
              </w:rPr>
              <w:t>Unchanged (pre-NSA)</w:t>
            </w:r>
          </w:p>
        </w:tc>
        <w:tc>
          <w:tcPr>
            <w:tcW w:type="dxa" w:w="1728"/>
          </w:tcPr>
          <w:p>
            <w:r>
              <w:rPr>
                <w:rFonts w:ascii="Calibri" w:hAnsi="Calibri"/>
                <w:sz w:val="22"/>
              </w:rPr>
              <w:t>N/A — will be materially revised post-NSA close</w:t>
            </w:r>
          </w:p>
        </w:tc>
        <w:tc>
          <w:tcPr>
            <w:tcW w:type="dxa" w:w="1728"/>
          </w:tcPr>
          <w:p>
            <w:r>
              <w:rPr>
                <w:rFonts w:ascii="Calibri" w:hAnsi="Calibri"/>
                <w:sz w:val="22"/>
              </w:rPr>
              <w:t>NSA acquisition closed July 22, 2026 (disclosure date = closing date). This guidance will need to be updated to reflect NSA contribution. NSA expected breakeven to Core FFO in 2026.</w:t>
            </w:r>
          </w:p>
        </w:tc>
      </w:tr>
      <w:tr>
        <w:tc>
          <w:tcPr>
            <w:tcW w:type="dxa" w:w="1728"/>
          </w:tcPr>
          <w:p>
            <w:r>
              <w:rPr>
                <w:rFonts w:ascii="Calibri" w:hAnsi="Calibri"/>
                <w:sz w:val="22"/>
              </w:rPr>
              <w:t>NSA Synergies</w:t>
            </w:r>
          </w:p>
        </w:tc>
        <w:tc>
          <w:tcPr>
            <w:tcW w:type="dxa" w:w="1728"/>
          </w:tcPr>
          <w:p>
            <w:r>
              <w:rPr>
                <w:rFonts w:ascii="Calibri" w:hAnsi="Calibri"/>
                <w:sz w:val="22"/>
              </w:rPr>
              <w:t>$110M – $130M run-rate over 3–4 years; $0.35–$0.50/share at stabilization (2028–2029)</w:t>
            </w:r>
          </w:p>
        </w:tc>
        <w:tc>
          <w:tcPr>
            <w:tcW w:type="dxa" w:w="1728"/>
          </w:tcPr>
          <w:p>
            <w:r>
              <w:rPr>
                <w:rFonts w:ascii="Calibri" w:hAnsi="Calibri"/>
                <w:sz w:val="22"/>
              </w:rPr>
              <w:t>Confirmed at close (July 22, 2026)</w:t>
            </w:r>
          </w:p>
        </w:tc>
        <w:tc>
          <w:tcPr>
            <w:tcW w:type="dxa" w:w="1728"/>
          </w:tcPr>
          <w:p>
            <w:r>
              <w:rPr>
                <w:rFonts w:ascii="Calibri" w:hAnsi="Calibri"/>
                <w:sz w:val="22"/>
              </w:rPr>
              <w:t>N/A</w:t>
            </w:r>
          </w:p>
        </w:tc>
        <w:tc>
          <w:tcPr>
            <w:tcW w:type="dxa" w:w="1728"/>
          </w:tcPr>
          <w:p>
            <w:r>
              <w:rPr>
                <w:rFonts w:ascii="Calibri" w:hAnsi="Calibri"/>
                <w:sz w:val="22"/>
              </w:rPr>
              <w:t>↑ Synergy range reaffirmed in NSA closing press release (July 22, 2026). Integration playbook being deployed immediately. Accretion expected to increase to $0.35–$0.50/share upon realization of synergies.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Core FFO estimates for Q2 2026 have drifted modestly lower since the Q1 print (from ~$4.26 to ~$4.25), while full-year 2026 estimates have been essentially stable, sitting comfortably above the guidance midpoint. The gap between consensus and guidance midpoint represents a cushion rather than a risk — the Street is effectively pricing in a guidance raise that management has not yet delivered.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(as of ~May 4,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Core FFO/Share — Q2 2026</w:t>
            </w:r>
          </w:p>
        </w:tc>
        <w:tc>
          <w:tcPr>
            <w:tcW w:type="dxa" w:w="1080"/>
          </w:tcPr>
          <w:p>
            <w:r>
              <w:rPr>
                <w:rFonts w:ascii="Calibri" w:hAnsi="Calibri"/>
                <w:sz w:val="22"/>
              </w:rPr>
              <w:t>$4.26</w:t>
            </w:r>
          </w:p>
        </w:tc>
        <w:tc>
          <w:tcPr>
            <w:tcW w:type="dxa" w:w="1080"/>
          </w:tcPr>
          <w:p>
            <w:r>
              <w:rPr>
                <w:rFonts w:ascii="Calibri" w:hAnsi="Calibri"/>
                <w:sz w:val="22"/>
              </w:rPr>
              <w:t>$4.25</w:t>
            </w:r>
          </w:p>
        </w:tc>
        <w:tc>
          <w:tcPr>
            <w:tcW w:type="dxa" w:w="1080"/>
          </w:tcPr>
          <w:p>
            <w:r>
              <w:rPr>
                <w:rFonts w:ascii="Calibri" w:hAnsi="Calibri"/>
                <w:sz w:val="22"/>
              </w:rPr>
              <w:t>–0.2%</w:t>
            </w:r>
          </w:p>
        </w:tc>
        <w:tc>
          <w:tcPr>
            <w:tcW w:type="dxa" w:w="1080"/>
          </w:tcPr>
          <w:p>
            <w:r>
              <w:rPr>
                <w:rFonts w:ascii="Calibri" w:hAnsi="Calibri"/>
                <w:sz w:val="22"/>
              </w:rPr>
              <w:t>No Q2-specific guidance provided</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 (no Q2 guidance)</w:t>
            </w:r>
          </w:p>
        </w:tc>
      </w:tr>
      <w:tr>
        <w:tc>
          <w:tcPr>
            <w:tcW w:type="dxa" w:w="1080"/>
          </w:tcPr>
          <w:p>
            <w:r>
              <w:rPr>
                <w:rFonts w:ascii="Calibri" w:hAnsi="Calibri"/>
                <w:sz w:val="22"/>
              </w:rPr>
              <w:t>Core FFO/Share — FY 2026</w:t>
            </w:r>
          </w:p>
        </w:tc>
        <w:tc>
          <w:tcPr>
            <w:tcW w:type="dxa" w:w="1080"/>
          </w:tcPr>
          <w:p>
            <w:r>
              <w:rPr>
                <w:rFonts w:ascii="Calibri" w:hAnsi="Calibri"/>
                <w:sz w:val="22"/>
              </w:rPr>
              <w:t>$16.93</w:t>
            </w:r>
          </w:p>
        </w:tc>
        <w:tc>
          <w:tcPr>
            <w:tcW w:type="dxa" w:w="1080"/>
          </w:tcPr>
          <w:p>
            <w:r>
              <w:rPr>
                <w:rFonts w:ascii="Calibri" w:hAnsi="Calibri"/>
                <w:sz w:val="22"/>
              </w:rPr>
              <w:t>$16.94</w:t>
            </w:r>
          </w:p>
        </w:tc>
        <w:tc>
          <w:tcPr>
            <w:tcW w:type="dxa" w:w="1080"/>
          </w:tcPr>
          <w:p>
            <w:r>
              <w:rPr>
                <w:rFonts w:ascii="Calibri" w:hAnsi="Calibri"/>
                <w:sz w:val="22"/>
              </w:rPr>
              <w:t>+0.1%</w:t>
            </w:r>
          </w:p>
        </w:tc>
        <w:tc>
          <w:tcPr>
            <w:tcW w:type="dxa" w:w="1080"/>
          </w:tcPr>
          <w:p>
            <w:r>
              <w:rPr>
                <w:rFonts w:ascii="Calibri" w:hAnsi="Calibri"/>
                <w:sz w:val="22"/>
              </w:rPr>
              <w:t>$16.35–$17.00 (midpoint $16.68)</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+$0.26 / +1.6% above midpoint</w:t>
            </w:r>
          </w:p>
        </w:tc>
      </w:tr>
      <w:tr>
        <w:tc>
          <w:tcPr>
            <w:tcW w:type="dxa" w:w="1080"/>
          </w:tcPr>
          <w:p>
            <w:r>
              <w:rPr>
                <w:rFonts w:ascii="Calibri" w:hAnsi="Calibri"/>
                <w:sz w:val="22"/>
              </w:rPr>
              <w:t>Same-Store Revenue Growth — Q2 2026</w:t>
            </w:r>
          </w:p>
        </w:tc>
        <w:tc>
          <w:tcPr>
            <w:tcW w:type="dxa" w:w="1080"/>
          </w:tcPr>
          <w:p>
            <w:r>
              <w:rPr>
                <w:rFonts w:ascii="Calibri" w:hAnsi="Calibri"/>
                <w:sz w:val="22"/>
              </w:rPr>
              <w:t>+0.31%</w:t>
            </w:r>
          </w:p>
        </w:tc>
        <w:tc>
          <w:tcPr>
            <w:tcW w:type="dxa" w:w="1080"/>
          </w:tcPr>
          <w:p>
            <w:r>
              <w:rPr>
                <w:rFonts w:ascii="Calibri" w:hAnsi="Calibri"/>
                <w:sz w:val="22"/>
              </w:rPr>
              <w:t>–0.34%</w:t>
            </w:r>
          </w:p>
        </w:tc>
        <w:tc>
          <w:tcPr>
            <w:tcW w:type="dxa" w:w="1080"/>
          </w:tcPr>
          <w:p>
            <w:r>
              <w:rPr>
                <w:rFonts w:ascii="Calibri" w:hAnsi="Calibri"/>
                <w:sz w:val="22"/>
              </w:rPr>
              <w:t>–65 bps</w:t>
            </w:r>
          </w:p>
        </w:tc>
        <w:tc>
          <w:tcPr>
            <w:tcW w:type="dxa" w:w="1080"/>
          </w:tcPr>
          <w:p>
            <w:r>
              <w:rPr>
                <w:rFonts w:ascii="Calibri" w:hAnsi="Calibri"/>
                <w:sz w:val="22"/>
              </w:rPr>
              <w:t>No Q2-specific guidance; FY: (2.2)% to 0.0%</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Above FY midpoint of –1.1%</w:t>
            </w:r>
          </w:p>
        </w:tc>
      </w:tr>
      <w:tr>
        <w:tc>
          <w:tcPr>
            <w:tcW w:type="dxa" w:w="1080"/>
          </w:tcPr>
          <w:p>
            <w:r>
              <w:rPr>
                <w:rFonts w:ascii="Calibri" w:hAnsi="Calibri"/>
                <w:sz w:val="22"/>
              </w:rPr>
              <w:t>Same-Store Revenue Growth — FY 2026</w:t>
            </w:r>
          </w:p>
        </w:tc>
        <w:tc>
          <w:tcPr>
            <w:tcW w:type="dxa" w:w="1080"/>
          </w:tcPr>
          <w:p>
            <w:r>
              <w:rPr>
                <w:rFonts w:ascii="Calibri" w:hAnsi="Calibri"/>
                <w:sz w:val="22"/>
              </w:rPr>
              <w:t>+0.24%</w:t>
            </w:r>
          </w:p>
        </w:tc>
        <w:tc>
          <w:tcPr>
            <w:tcW w:type="dxa" w:w="1080"/>
          </w:tcPr>
          <w:p>
            <w:r>
              <w:rPr>
                <w:rFonts w:ascii="Calibri" w:hAnsi="Calibri"/>
                <w:sz w:val="22"/>
              </w:rPr>
              <w:t>–0.15%</w:t>
            </w:r>
          </w:p>
        </w:tc>
        <w:tc>
          <w:tcPr>
            <w:tcW w:type="dxa" w:w="1080"/>
          </w:tcPr>
          <w:p>
            <w:r>
              <w:rPr>
                <w:rFonts w:ascii="Calibri" w:hAnsi="Calibri"/>
                <w:sz w:val="22"/>
              </w:rPr>
              <w:t>–39 bps</w:t>
            </w:r>
          </w:p>
        </w:tc>
        <w:tc>
          <w:tcPr>
            <w:tcW w:type="dxa" w:w="1080"/>
          </w:tcPr>
          <w:p>
            <w:r>
              <w:rPr>
                <w:rFonts w:ascii="Calibri" w:hAnsi="Calibri"/>
                <w:sz w:val="22"/>
              </w:rPr>
              <w:t>(2.2)% to 0.0% (midpoint –1.1%)</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+95 bps above midpoint</w:t>
            </w:r>
          </w:p>
        </w:tc>
      </w:tr>
      <w:tr>
        <w:tc>
          <w:tcPr>
            <w:tcW w:type="dxa" w:w="1080"/>
          </w:tcPr>
          <w:p>
            <w:r>
              <w:rPr>
                <w:rFonts w:ascii="Calibri" w:hAnsi="Calibri"/>
                <w:sz w:val="22"/>
              </w:rPr>
              <w:t>Same-Store NOI Growth — Q2 2026</w:t>
            </w:r>
          </w:p>
        </w:tc>
        <w:tc>
          <w:tcPr>
            <w:tcW w:type="dxa" w:w="1080"/>
          </w:tcPr>
          <w:p>
            <w:r>
              <w:rPr>
                <w:rFonts w:ascii="Calibri" w:hAnsi="Calibri"/>
                <w:sz w:val="22"/>
              </w:rPr>
              <w:t>–1.24%</w:t>
            </w:r>
          </w:p>
        </w:tc>
        <w:tc>
          <w:tcPr>
            <w:tcW w:type="dxa" w:w="1080"/>
          </w:tcPr>
          <w:p>
            <w:r>
              <w:rPr>
                <w:rFonts w:ascii="Calibri" w:hAnsi="Calibri"/>
                <w:sz w:val="22"/>
              </w:rPr>
              <w:t>–1.60%</w:t>
            </w:r>
          </w:p>
        </w:tc>
        <w:tc>
          <w:tcPr>
            <w:tcW w:type="dxa" w:w="1080"/>
          </w:tcPr>
          <w:p>
            <w:r>
              <w:rPr>
                <w:rFonts w:ascii="Calibri" w:hAnsi="Calibri"/>
                <w:sz w:val="22"/>
              </w:rPr>
              <w:t>–36 bps</w:t>
            </w:r>
          </w:p>
        </w:tc>
        <w:tc>
          <w:tcPr>
            <w:tcW w:type="dxa" w:w="1080"/>
          </w:tcPr>
          <w:p>
            <w:r>
              <w:rPr>
                <w:rFonts w:ascii="Calibri" w:hAnsi="Calibri"/>
                <w:sz w:val="22"/>
              </w:rPr>
              <w:t>No Q2-specific guidance; FY: (3.9)% to (0.5)%</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Above FY midpoint of –2.2%</w:t>
            </w:r>
          </w:p>
        </w:tc>
      </w:tr>
      <w:tr>
        <w:tc>
          <w:tcPr>
            <w:tcW w:type="dxa" w:w="1080"/>
          </w:tcPr>
          <w:p>
            <w:r>
              <w:rPr>
                <w:rFonts w:ascii="Calibri" w:hAnsi="Calibri"/>
                <w:sz w:val="22"/>
              </w:rPr>
              <w:t>Same-Store NOI Growth — FY 2026</w:t>
            </w:r>
          </w:p>
        </w:tc>
        <w:tc>
          <w:tcPr>
            <w:tcW w:type="dxa" w:w="1080"/>
          </w:tcPr>
          <w:p>
            <w:r>
              <w:rPr>
                <w:rFonts w:ascii="Calibri" w:hAnsi="Calibri"/>
                <w:sz w:val="22"/>
              </w:rPr>
              <w:t>–0.53%</w:t>
            </w:r>
          </w:p>
        </w:tc>
        <w:tc>
          <w:tcPr>
            <w:tcW w:type="dxa" w:w="1080"/>
          </w:tcPr>
          <w:p>
            <w:r>
              <w:rPr>
                <w:rFonts w:ascii="Calibri" w:hAnsi="Calibri"/>
                <w:sz w:val="22"/>
              </w:rPr>
              <w:t>–0.56%</w:t>
            </w:r>
          </w:p>
        </w:tc>
        <w:tc>
          <w:tcPr>
            <w:tcW w:type="dxa" w:w="1080"/>
          </w:tcPr>
          <w:p>
            <w:r>
              <w:rPr>
                <w:rFonts w:ascii="Calibri" w:hAnsi="Calibri"/>
                <w:sz w:val="22"/>
              </w:rPr>
              <w:t>–3 bps</w:t>
            </w:r>
          </w:p>
        </w:tc>
        <w:tc>
          <w:tcPr>
            <w:tcW w:type="dxa" w:w="1080"/>
          </w:tcPr>
          <w:p>
            <w:r>
              <w:rPr>
                <w:rFonts w:ascii="Calibri" w:hAnsi="Calibri"/>
                <w:sz w:val="22"/>
              </w:rPr>
              <w:t>(3.9)% to (0.5)% (midpoint –2.2%)</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+164 bps above midpoint</w:t>
            </w:r>
          </w:p>
        </w:tc>
      </w:tr>
      <w:tr>
        <w:tc>
          <w:tcPr>
            <w:tcW w:type="dxa" w:w="1080"/>
          </w:tcPr>
          <w:p>
            <w:r>
              <w:rPr>
                <w:rFonts w:ascii="Calibri" w:hAnsi="Calibri"/>
                <w:sz w:val="22"/>
              </w:rPr>
              <w:t>Same-Store Occupancy — Q2 2026</w:t>
            </w:r>
          </w:p>
        </w:tc>
        <w:tc>
          <w:tcPr>
            <w:tcW w:type="dxa" w:w="1080"/>
          </w:tcPr>
          <w:p>
            <w:r>
              <w:rPr>
                <w:rFonts w:ascii="Calibri" w:hAnsi="Calibri"/>
                <w:sz w:val="22"/>
              </w:rPr>
              <w:t>92.48%</w:t>
            </w:r>
          </w:p>
        </w:tc>
        <w:tc>
          <w:tcPr>
            <w:tcW w:type="dxa" w:w="1080"/>
          </w:tcPr>
          <w:p>
            <w:r>
              <w:rPr>
                <w:rFonts w:ascii="Calibri" w:hAnsi="Calibri"/>
                <w:sz w:val="22"/>
              </w:rPr>
              <w:t>92.42%</w:t>
            </w:r>
          </w:p>
        </w:tc>
        <w:tc>
          <w:tcPr>
            <w:tcW w:type="dxa" w:w="1080"/>
          </w:tcPr>
          <w:p>
            <w:r>
              <w:rPr>
                <w:rFonts w:ascii="Calibri" w:hAnsi="Calibri"/>
                <w:sz w:val="22"/>
              </w:rPr>
              <w:t>–6 bps</w:t>
            </w:r>
          </w:p>
        </w:tc>
        <w:tc>
          <w:tcPr>
            <w:tcW w:type="dxa" w:w="1080"/>
          </w:tcPr>
          <w:p>
            <w:r>
              <w:rPr>
                <w:rFonts w:ascii="Calibri" w:hAnsi="Calibri"/>
                <w:sz w:val="22"/>
              </w:rPr>
              <w:t>Flat YoY (guidance assumption)</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Slightly above guidance assumption</w:t>
            </w:r>
          </w:p>
        </w:tc>
      </w:tr>
    </w:tbl>
    <w:p>
      <w:r>
        <w:rPr>
          <w:rFonts w:ascii="Calibri" w:hAnsi="Calibri"/>
          <w:color w:val="525866"/>
          <w:sz w:val="22"/>
        </w:rPr>
        <w:t>Source: Visible Alpha Consensus and Actuals Data. Post-Q1 baseline uses as-of date May 4, 2026 (approximately 5 trading days after April 27, 2026 earnings release). Guidance from PSA Q1 2026 Earnings Release (April 27, 2026) and Q1 2026 Earnings Call (April 28, 2026). Note: Q2 same-store revenue growth estimates drifted lower post-Q1 (from +0.31% to –0.34%), consistent with management's guidance that year-over-year revenue would soften in Q2/Q3 before improving — the Street has absorbed this message. FY estimates have been remarkably stable, suggesting the market is comfortable with the current guidance range and is waiting for a raise.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PSA has significantly outperformed both the REIT sector (VNQ) and the S&amp;P 500 since Q1 earnings (April 27, 2026), with the stock up ~+8.2% vs. VNQ +6.5% and SPY +3.6% over the same period. The outperformance is driven by multiple expansion (NTM EV/EBITDA expanded from ~18.0x to ~18.5x over 6 months) and improving sentiment around the PS 4.0 transformation, NSA acquisition close, and positive leading indicators — not earnings revisions, which have been essentially flat.</w:t>
      </w:r>
    </w:p>
    <w:p>
      <w:pPr>
        <w:pStyle w:val="Heading3"/>
      </w:pPr>
      <w:r>
        <w:rPr>
          <w:rFonts w:ascii="Calibri" w:hAnsi="Calibri"/>
          <w:b/>
          <w:color w:val="3B4259"/>
          <w:sz w:val="24"/>
        </w:rPr>
        <w:t>PSA vs. EXR vs. S&amp;P 500 — Indexed Performance Since Q1 2026 Earnings (April 27, 2026 = 100)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PSA (Indexed)</w:t>
            </w:r>
          </w:p>
        </w:tc>
        <w:tc>
          <w:tcPr>
            <w:tcW w:type="dxa" w:w="1728"/>
            <w:shd w:val="clear" w:color="auto" w:fill="3B4259"/>
          </w:tcPr>
          <w:p>
            <w:r>
              <w:rPr>
                <w:rFonts w:ascii="Calibri" w:hAnsi="Calibri"/>
                <w:b/>
                <w:color w:val="FFFFFF"/>
                <w:sz w:val="22"/>
              </w:rPr>
              <w:t>EXR (Indexed)</w:t>
            </w:r>
          </w:p>
        </w:tc>
        <w:tc>
          <w:tcPr>
            <w:tcW w:type="dxa" w:w="1728"/>
            <w:shd w:val="clear" w:color="auto" w:fill="3B4259"/>
          </w:tcPr>
          <w:p>
            <w:r>
              <w:rPr>
                <w:rFonts w:ascii="Calibri" w:hAnsi="Calibri"/>
                <w:b/>
                <w:color w:val="FFFFFF"/>
                <w:sz w:val="22"/>
              </w:rPr>
              <w:t>VNQ (Indexed)</w:t>
            </w:r>
          </w:p>
        </w:tc>
        <w:tc>
          <w:tcPr>
            <w:tcW w:type="dxa" w:w="1728"/>
            <w:shd w:val="clear" w:color="auto" w:fill="3B4259"/>
          </w:tcPr>
          <w:p>
            <w:r>
              <w:rPr>
                <w:rFonts w:ascii="Calibri" w:hAnsi="Calibri"/>
                <w:b/>
                <w:color w:val="FFFFFF"/>
                <w:sz w:val="22"/>
              </w:rPr>
              <w:t>SPY (Indexed)</w:t>
            </w:r>
          </w:p>
        </w:tc>
      </w:tr>
      <w:tr>
        <w:tc>
          <w:tcPr>
            <w:tcW w:type="dxa" w:w="1728"/>
          </w:tcPr>
          <w:p>
            <w:r>
              <w:rPr>
                <w:rFonts w:ascii="Calibri" w:hAnsi="Calibri"/>
                <w:sz w:val="22"/>
              </w:rPr>
              <w:t>Apr 27, 2026 (Q1 Earnings)</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May 8, 2026</w:t>
            </w:r>
          </w:p>
        </w:tc>
        <w:tc>
          <w:tcPr>
            <w:tcW w:type="dxa" w:w="1728"/>
          </w:tcPr>
          <w:p>
            <w:r>
              <w:rPr>
                <w:rFonts w:ascii="Calibri" w:hAnsi="Calibri"/>
                <w:sz w:val="22"/>
              </w:rPr>
              <w:t>101.8</w:t>
            </w:r>
          </w:p>
        </w:tc>
        <w:tc>
          <w:tcPr>
            <w:tcW w:type="dxa" w:w="1728"/>
          </w:tcPr>
          <w:p>
            <w:r>
              <w:rPr>
                <w:rFonts w:ascii="Calibri" w:hAnsi="Calibri"/>
                <w:sz w:val="22"/>
              </w:rPr>
              <w:t>102.7</w:t>
            </w:r>
          </w:p>
        </w:tc>
        <w:tc>
          <w:tcPr>
            <w:tcW w:type="dxa" w:w="1728"/>
          </w:tcPr>
          <w:p>
            <w:r>
              <w:rPr>
                <w:rFonts w:ascii="Calibri" w:hAnsi="Calibri"/>
                <w:sz w:val="22"/>
              </w:rPr>
              <w:t>101.9</w:t>
            </w:r>
          </w:p>
        </w:tc>
        <w:tc>
          <w:tcPr>
            <w:tcW w:type="dxa" w:w="1728"/>
          </w:tcPr>
          <w:p>
            <w:r>
              <w:rPr>
                <w:rFonts w:ascii="Calibri" w:hAnsi="Calibri"/>
                <w:sz w:val="22"/>
              </w:rPr>
              <w:t>103.1</w:t>
            </w:r>
          </w:p>
        </w:tc>
      </w:tr>
      <w:tr>
        <w:tc>
          <w:tcPr>
            <w:tcW w:type="dxa" w:w="1728"/>
          </w:tcPr>
          <w:p>
            <w:r>
              <w:rPr>
                <w:rFonts w:ascii="Calibri" w:hAnsi="Calibri"/>
                <w:sz w:val="22"/>
              </w:rPr>
              <w:t>May 29, 2026</w:t>
            </w:r>
          </w:p>
        </w:tc>
        <w:tc>
          <w:tcPr>
            <w:tcW w:type="dxa" w:w="1728"/>
          </w:tcPr>
          <w:p>
            <w:r>
              <w:rPr>
                <w:rFonts w:ascii="Calibri" w:hAnsi="Calibri"/>
                <w:sz w:val="22"/>
              </w:rPr>
              <w:t>101.4</w:t>
            </w:r>
          </w:p>
        </w:tc>
        <w:tc>
          <w:tcPr>
            <w:tcW w:type="dxa" w:w="1728"/>
          </w:tcPr>
          <w:p>
            <w:r>
              <w:rPr>
                <w:rFonts w:ascii="Calibri" w:hAnsi="Calibri"/>
                <w:sz w:val="22"/>
              </w:rPr>
              <w:t>103.4</w:t>
            </w:r>
          </w:p>
        </w:tc>
        <w:tc>
          <w:tcPr>
            <w:tcW w:type="dxa" w:w="1728"/>
          </w:tcPr>
          <w:p>
            <w:r>
              <w:rPr>
                <w:rFonts w:ascii="Calibri" w:hAnsi="Calibri"/>
                <w:sz w:val="22"/>
              </w:rPr>
              <w:t>101.9</w:t>
            </w:r>
          </w:p>
        </w:tc>
        <w:tc>
          <w:tcPr>
            <w:tcW w:type="dxa" w:w="1728"/>
          </w:tcPr>
          <w:p>
            <w:r>
              <w:rPr>
                <w:rFonts w:ascii="Calibri" w:hAnsi="Calibri"/>
                <w:sz w:val="22"/>
              </w:rPr>
              <w:t>105.8</w:t>
            </w:r>
          </w:p>
        </w:tc>
      </w:tr>
      <w:tr>
        <w:tc>
          <w:tcPr>
            <w:tcW w:type="dxa" w:w="1728"/>
          </w:tcPr>
          <w:p>
            <w:r>
              <w:rPr>
                <w:rFonts w:ascii="Calibri" w:hAnsi="Calibri"/>
                <w:sz w:val="22"/>
              </w:rPr>
              <w:t>Jun 9, 2026 (PS Canada announced Jun 22)</w:t>
            </w:r>
          </w:p>
        </w:tc>
        <w:tc>
          <w:tcPr>
            <w:tcW w:type="dxa" w:w="1728"/>
          </w:tcPr>
          <w:p>
            <w:r>
              <w:rPr>
                <w:rFonts w:ascii="Calibri" w:hAnsi="Calibri"/>
                <w:sz w:val="22"/>
              </w:rPr>
              <w:t>105.7</w:t>
            </w:r>
          </w:p>
        </w:tc>
        <w:tc>
          <w:tcPr>
            <w:tcW w:type="dxa" w:w="1728"/>
          </w:tcPr>
          <w:p>
            <w:r>
              <w:rPr>
                <w:rFonts w:ascii="Calibri" w:hAnsi="Calibri"/>
                <w:sz w:val="22"/>
              </w:rPr>
              <w:t>106.2</w:t>
            </w:r>
          </w:p>
        </w:tc>
        <w:tc>
          <w:tcPr>
            <w:tcW w:type="dxa" w:w="1728"/>
          </w:tcPr>
          <w:p>
            <w:r>
              <w:rPr>
                <w:rFonts w:ascii="Calibri" w:hAnsi="Calibri"/>
                <w:sz w:val="22"/>
              </w:rPr>
              <w:t>103.0</w:t>
            </w:r>
          </w:p>
        </w:tc>
        <w:tc>
          <w:tcPr>
            <w:tcW w:type="dxa" w:w="1728"/>
          </w:tcPr>
          <w:p>
            <w:r>
              <w:rPr>
                <w:rFonts w:ascii="Calibri" w:hAnsi="Calibri"/>
                <w:sz w:val="22"/>
              </w:rPr>
              <w:t>103.1</w:t>
            </w:r>
          </w:p>
        </w:tc>
      </w:tr>
      <w:tr>
        <w:tc>
          <w:tcPr>
            <w:tcW w:type="dxa" w:w="1728"/>
          </w:tcPr>
          <w:p>
            <w:r>
              <w:rPr>
                <w:rFonts w:ascii="Calibri" w:hAnsi="Calibri"/>
                <w:sz w:val="22"/>
              </w:rPr>
              <w:t>Jun 22, 2026 (PS Canada deal announced)</w:t>
            </w:r>
          </w:p>
        </w:tc>
        <w:tc>
          <w:tcPr>
            <w:tcW w:type="dxa" w:w="1728"/>
          </w:tcPr>
          <w:p>
            <w:r>
              <w:rPr>
                <w:rFonts w:ascii="Calibri" w:hAnsi="Calibri"/>
                <w:sz w:val="22"/>
              </w:rPr>
              <w:t>104.8</w:t>
            </w:r>
          </w:p>
        </w:tc>
        <w:tc>
          <w:tcPr>
            <w:tcW w:type="dxa" w:w="1728"/>
          </w:tcPr>
          <w:p>
            <w:r>
              <w:rPr>
                <w:rFonts w:ascii="Calibri" w:hAnsi="Calibri"/>
                <w:sz w:val="22"/>
              </w:rPr>
              <w:t>104.7</w:t>
            </w:r>
          </w:p>
        </w:tc>
        <w:tc>
          <w:tcPr>
            <w:tcW w:type="dxa" w:w="1728"/>
          </w:tcPr>
          <w:p>
            <w:r>
              <w:rPr>
                <w:rFonts w:ascii="Calibri" w:hAnsi="Calibri"/>
                <w:sz w:val="22"/>
              </w:rPr>
              <w:t>101.9</w:t>
            </w:r>
          </w:p>
        </w:tc>
        <w:tc>
          <w:tcPr>
            <w:tcW w:type="dxa" w:w="1728"/>
          </w:tcPr>
          <w:p>
            <w:r>
              <w:rPr>
                <w:rFonts w:ascii="Calibri" w:hAnsi="Calibri"/>
                <w:sz w:val="22"/>
              </w:rPr>
              <w:t>104.1</w:t>
            </w:r>
          </w:p>
        </w:tc>
      </w:tr>
      <w:tr>
        <w:tc>
          <w:tcPr>
            <w:tcW w:type="dxa" w:w="1728"/>
          </w:tcPr>
          <w:p>
            <w:r>
              <w:rPr>
                <w:rFonts w:ascii="Calibri" w:hAnsi="Calibri"/>
                <w:sz w:val="22"/>
              </w:rPr>
              <w:t>Jun 25, 2026 ($3.5B credit facility)</w:t>
            </w:r>
          </w:p>
        </w:tc>
        <w:tc>
          <w:tcPr>
            <w:tcW w:type="dxa" w:w="1728"/>
          </w:tcPr>
          <w:p>
            <w:r>
              <w:rPr>
                <w:rFonts w:ascii="Calibri" w:hAnsi="Calibri"/>
                <w:sz w:val="22"/>
              </w:rPr>
              <w:t>105.0</w:t>
            </w:r>
          </w:p>
        </w:tc>
        <w:tc>
          <w:tcPr>
            <w:tcW w:type="dxa" w:w="1728"/>
          </w:tcPr>
          <w:p>
            <w:r>
              <w:rPr>
                <w:rFonts w:ascii="Calibri" w:hAnsi="Calibri"/>
                <w:sz w:val="22"/>
              </w:rPr>
              <w:t>105.5</w:t>
            </w:r>
          </w:p>
        </w:tc>
        <w:tc>
          <w:tcPr>
            <w:tcW w:type="dxa" w:w="1728"/>
          </w:tcPr>
          <w:p>
            <w:r>
              <w:rPr>
                <w:rFonts w:ascii="Calibri" w:hAnsi="Calibri"/>
                <w:sz w:val="22"/>
              </w:rPr>
              <w:t>102.5</w:t>
            </w:r>
          </w:p>
        </w:tc>
        <w:tc>
          <w:tcPr>
            <w:tcW w:type="dxa" w:w="1728"/>
          </w:tcPr>
          <w:p>
            <w:r>
              <w:rPr>
                <w:rFonts w:ascii="Calibri" w:hAnsi="Calibri"/>
                <w:sz w:val="22"/>
              </w:rPr>
              <w:t>102.7</w:t>
            </w:r>
          </w:p>
        </w:tc>
      </w:tr>
      <w:tr>
        <w:tc>
          <w:tcPr>
            <w:tcW w:type="dxa" w:w="1728"/>
          </w:tcPr>
          <w:p>
            <w:r>
              <w:rPr>
                <w:rFonts w:ascii="Calibri" w:hAnsi="Calibri"/>
                <w:sz w:val="22"/>
              </w:rPr>
              <w:t>Jul 7, 2026 (COO departure disclosed)</w:t>
            </w:r>
          </w:p>
        </w:tc>
        <w:tc>
          <w:tcPr>
            <w:tcW w:type="dxa" w:w="1728"/>
          </w:tcPr>
          <w:p>
            <w:r>
              <w:rPr>
                <w:rFonts w:ascii="Calibri" w:hAnsi="Calibri"/>
                <w:sz w:val="22"/>
              </w:rPr>
              <w:t>107.6</w:t>
            </w:r>
          </w:p>
        </w:tc>
        <w:tc>
          <w:tcPr>
            <w:tcW w:type="dxa" w:w="1728"/>
          </w:tcPr>
          <w:p>
            <w:r>
              <w:rPr>
                <w:rFonts w:ascii="Calibri" w:hAnsi="Calibri"/>
                <w:sz w:val="22"/>
              </w:rPr>
              <w:t>105.9</w:t>
            </w:r>
          </w:p>
        </w:tc>
        <w:tc>
          <w:tcPr>
            <w:tcW w:type="dxa" w:w="1728"/>
          </w:tcPr>
          <w:p>
            <w:r>
              <w:rPr>
                <w:rFonts w:ascii="Calibri" w:hAnsi="Calibri"/>
                <w:sz w:val="22"/>
              </w:rPr>
              <w:t>103.8</w:t>
            </w:r>
          </w:p>
        </w:tc>
        <w:tc>
          <w:tcPr>
            <w:tcW w:type="dxa" w:w="1728"/>
          </w:tcPr>
          <w:p>
            <w:r>
              <w:rPr>
                <w:rFonts w:ascii="Calibri" w:hAnsi="Calibri"/>
                <w:sz w:val="22"/>
              </w:rPr>
              <w:t>104.6</w:t>
            </w:r>
          </w:p>
        </w:tc>
      </w:tr>
      <w:tr>
        <w:tc>
          <w:tcPr>
            <w:tcW w:type="dxa" w:w="1728"/>
          </w:tcPr>
          <w:p>
            <w:r>
              <w:rPr>
                <w:rFonts w:ascii="Calibri" w:hAnsi="Calibri"/>
                <w:sz w:val="22"/>
              </w:rPr>
              <w:t>Jul 22, 2026 (NSA acquisition closed)</w:t>
            </w:r>
          </w:p>
        </w:tc>
        <w:tc>
          <w:tcPr>
            <w:tcW w:type="dxa" w:w="1728"/>
          </w:tcPr>
          <w:p>
            <w:r>
              <w:rPr>
                <w:rFonts w:ascii="Calibri" w:hAnsi="Calibri"/>
                <w:sz w:val="22"/>
              </w:rPr>
              <w:t>102.0</w:t>
            </w:r>
          </w:p>
        </w:tc>
        <w:tc>
          <w:tcPr>
            <w:tcW w:type="dxa" w:w="1728"/>
          </w:tcPr>
          <w:p>
            <w:r>
              <w:rPr>
                <w:rFonts w:ascii="Calibri" w:hAnsi="Calibri"/>
                <w:sz w:val="22"/>
              </w:rPr>
              <w:t>104.0</w:t>
            </w:r>
          </w:p>
        </w:tc>
        <w:tc>
          <w:tcPr>
            <w:tcW w:type="dxa" w:w="1728"/>
          </w:tcPr>
          <w:p>
            <w:r>
              <w:rPr>
                <w:rFonts w:ascii="Calibri" w:hAnsi="Calibri"/>
                <w:sz w:val="22"/>
              </w:rPr>
              <w:t>104.5</w:t>
            </w:r>
          </w:p>
        </w:tc>
        <w:tc>
          <w:tcPr>
            <w:tcW w:type="dxa" w:w="1728"/>
          </w:tcPr>
          <w:p>
            <w:r>
              <w:rPr>
                <w:rFonts w:ascii="Calibri" w:hAnsi="Calibri"/>
                <w:sz w:val="22"/>
              </w:rPr>
              <w:t>104.5</w:t>
            </w:r>
          </w:p>
        </w:tc>
      </w:tr>
      <w:tr>
        <w:tc>
          <w:tcPr>
            <w:tcW w:type="dxa" w:w="1728"/>
          </w:tcPr>
          <w:p>
            <w:r>
              <w:rPr>
                <w:rFonts w:ascii="Calibri" w:hAnsi="Calibri"/>
                <w:sz w:val="22"/>
              </w:rPr>
              <w:t>Jul 28, 2026 (EXR Q2 earnings)</w:t>
            </w:r>
          </w:p>
        </w:tc>
        <w:tc>
          <w:tcPr>
            <w:tcW w:type="dxa" w:w="1728"/>
          </w:tcPr>
          <w:p>
            <w:r>
              <w:rPr>
                <w:rFonts w:ascii="Calibri" w:hAnsi="Calibri"/>
                <w:sz w:val="22"/>
              </w:rPr>
              <w:t>108.2</w:t>
            </w:r>
          </w:p>
        </w:tc>
        <w:tc>
          <w:tcPr>
            <w:tcW w:type="dxa" w:w="1728"/>
          </w:tcPr>
          <w:p>
            <w:r>
              <w:rPr>
                <w:rFonts w:ascii="Calibri" w:hAnsi="Calibri"/>
                <w:sz w:val="22"/>
              </w:rPr>
              <w:t>109.1</w:t>
            </w:r>
          </w:p>
        </w:tc>
        <w:tc>
          <w:tcPr>
            <w:tcW w:type="dxa" w:w="1728"/>
          </w:tcPr>
          <w:p>
            <w:r>
              <w:rPr>
                <w:rFonts w:ascii="Calibri" w:hAnsi="Calibri"/>
                <w:sz w:val="22"/>
              </w:rPr>
              <w:t>106.6</w:t>
            </w:r>
          </w:p>
        </w:tc>
        <w:tc>
          <w:tcPr>
            <w:tcW w:type="dxa" w:w="1728"/>
          </w:tcPr>
          <w:p>
            <w:r>
              <w:rPr>
                <w:rFonts w:ascii="Calibri" w:hAnsi="Calibri"/>
                <w:sz w:val="22"/>
              </w:rPr>
              <w:t>103.6</w:t>
            </w:r>
          </w:p>
        </w:tc>
      </w:tr>
      <w:tr>
        <w:tc>
          <w:tcPr>
            <w:tcW w:type="dxa" w:w="1728"/>
          </w:tcPr>
          <w:p>
            <w:r>
              <w:rPr>
                <w:rFonts w:ascii="Calibri" w:hAnsi="Calibri"/>
                <w:sz w:val="22"/>
              </w:rPr>
              <w:t>Jul 29, 2026 (Day before earnings)</w:t>
            </w:r>
          </w:p>
        </w:tc>
        <w:tc>
          <w:tcPr>
            <w:tcW w:type="dxa" w:w="1728"/>
          </w:tcPr>
          <w:p>
            <w:r>
              <w:rPr>
                <w:rFonts w:ascii="Calibri" w:hAnsi="Calibri"/>
                <w:sz w:val="22"/>
              </w:rPr>
              <w:t>108.2</w:t>
            </w:r>
          </w:p>
        </w:tc>
        <w:tc>
          <w:tcPr>
            <w:tcW w:type="dxa" w:w="1728"/>
          </w:tcPr>
          <w:p>
            <w:r>
              <w:rPr>
                <w:rFonts w:ascii="Calibri" w:hAnsi="Calibri"/>
                <w:sz w:val="22"/>
              </w:rPr>
              <w:t>109.1</w:t>
            </w:r>
          </w:p>
        </w:tc>
        <w:tc>
          <w:tcPr>
            <w:tcW w:type="dxa" w:w="1728"/>
          </w:tcPr>
          <w:p>
            <w:r>
              <w:rPr>
                <w:rFonts w:ascii="Calibri" w:hAnsi="Calibri"/>
                <w:sz w:val="22"/>
              </w:rPr>
              <w:t>106.5</w:t>
            </w:r>
          </w:p>
        </w:tc>
        <w:tc>
          <w:tcPr>
            <w:tcW w:type="dxa" w:w="1728"/>
          </w:tcPr>
          <w:p>
            <w:r>
              <w:rPr>
                <w:rFonts w:ascii="Calibri" w:hAnsi="Calibri"/>
                <w:sz w:val="22"/>
              </w:rPr>
              <w:t>103.6</w:t>
            </w:r>
          </w:p>
        </w:tc>
      </w:tr>
    </w:tbl>
    <w:p>
      <w:r>
        <w:rPr>
          <w:rFonts w:ascii="Calibri" w:hAnsi="Calibri"/>
          <w:color w:val="525866"/>
          <w:sz w:val="22"/>
        </w:rPr>
        <w:t>Source: Stock Price Data (Yahoo Finance). Indexed to 100 at April 27, 2026 close ($305.48 for PSA, $139.54 for EXR, $94.78 for VNQ, $715.17 for SPY). Key events marked: PS Canada acquisition announced June 22, 2026; $3.5B credit facility secured June 25, 2026; COO Chris Sambar departure disclosed July 7, 2026; NSA acquisition closed July 22, 2026; EXR Q2 2026 earnings released July 28, 2026. Note: VNQ (Vanguard Real Estate ETF) used as the REIT sector benchmark. PSA's outperformance vs. VNQ (+1.7 ppt) reflects self-storage sector re-rating and PSA-specific catalysts; PSA's outperformance vs. SPY (+4.6 ppt) reflects the broader REIT sector rally plus PSA-specific alpha.</w:t>
      </w:r>
    </w:p>
    <w:p>
      <w:pPr>
        <w:pStyle w:val="Heading3"/>
      </w:pPr>
      <w:r>
        <w:rPr>
          <w:rFonts w:ascii="Calibri" w:hAnsi="Calibri"/>
          <w:b/>
          <w:color w:val="3B4259"/>
          <w:sz w:val="24"/>
        </w:rPr>
        <w:t>Valuation Context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Current (Jul 28, 2026)</w:t>
            </w:r>
          </w:p>
        </w:tc>
        <w:tc>
          <w:tcPr>
            <w:tcW w:type="dxa" w:w="1728"/>
            <w:shd w:val="clear" w:color="auto" w:fill="3B4259"/>
          </w:tcPr>
          <w:p>
            <w:r>
              <w:rPr>
                <w:rFonts w:ascii="Calibri" w:hAnsi="Calibri"/>
                <w:b/>
                <w:color w:val="FFFFFF"/>
                <w:sz w:val="22"/>
              </w:rPr>
              <w:t>3 Months Ago</w:t>
            </w:r>
          </w:p>
        </w:tc>
        <w:tc>
          <w:tcPr>
            <w:tcW w:type="dxa" w:w="1728"/>
            <w:shd w:val="clear" w:color="auto" w:fill="3B4259"/>
          </w:tcPr>
          <w:p>
            <w:r>
              <w:rPr>
                <w:rFonts w:ascii="Calibri" w:hAnsi="Calibri"/>
                <w:b/>
                <w:color w:val="FFFFFF"/>
                <w:sz w:val="22"/>
              </w:rPr>
              <w:t>6 Months Ago</w:t>
            </w:r>
          </w:p>
        </w:tc>
        <w:tc>
          <w:tcPr>
            <w:tcW w:type="dxa" w:w="1728"/>
            <w:shd w:val="clear" w:color="auto" w:fill="3B4259"/>
          </w:tcPr>
          <w:p>
            <w:r>
              <w:rPr>
                <w:rFonts w:ascii="Calibri" w:hAnsi="Calibri"/>
                <w:b/>
                <w:color w:val="FFFFFF"/>
                <w:sz w:val="22"/>
              </w:rPr>
              <w:t>12 Months Ago</w:t>
            </w:r>
          </w:p>
        </w:tc>
      </w:tr>
      <w:tr>
        <w:tc>
          <w:tcPr>
            <w:tcW w:type="dxa" w:w="1728"/>
          </w:tcPr>
          <w:p>
            <w:r>
              <w:rPr>
                <w:rFonts w:ascii="Calibri" w:hAnsi="Calibri"/>
                <w:sz w:val="22"/>
              </w:rPr>
              <w:t>NTM EV/EBITDA</w:t>
            </w:r>
          </w:p>
        </w:tc>
        <w:tc>
          <w:tcPr>
            <w:tcW w:type="dxa" w:w="1728"/>
          </w:tcPr>
          <w:p>
            <w:r>
              <w:rPr>
                <w:rFonts w:ascii="Calibri" w:hAnsi="Calibri"/>
                <w:sz w:val="22"/>
              </w:rPr>
              <w:t>18.5x</w:t>
            </w:r>
          </w:p>
        </w:tc>
        <w:tc>
          <w:tcPr>
            <w:tcW w:type="dxa" w:w="1728"/>
          </w:tcPr>
          <w:p>
            <w:r>
              <w:rPr>
                <w:rFonts w:ascii="Calibri" w:hAnsi="Calibri"/>
                <w:sz w:val="22"/>
              </w:rPr>
              <w:t>19.1x</w:t>
            </w:r>
          </w:p>
        </w:tc>
        <w:tc>
          <w:tcPr>
            <w:tcW w:type="dxa" w:w="1728"/>
          </w:tcPr>
          <w:p>
            <w:r>
              <w:rPr>
                <w:rFonts w:ascii="Calibri" w:hAnsi="Calibri"/>
                <w:sz w:val="22"/>
              </w:rPr>
              <w:t>18.0x</w:t>
            </w:r>
          </w:p>
        </w:tc>
        <w:tc>
          <w:tcPr>
            <w:tcW w:type="dxa" w:w="1728"/>
          </w:tcPr>
          <w:p>
            <w:r>
              <w:rPr>
                <w:rFonts w:ascii="Calibri" w:hAnsi="Calibri"/>
                <w:sz w:val="22"/>
              </w:rPr>
              <w:t>18.3x</w:t>
            </w:r>
          </w:p>
        </w:tc>
      </w:tr>
      <w:tr>
        <w:tc>
          <w:tcPr>
            <w:tcW w:type="dxa" w:w="1728"/>
          </w:tcPr>
          <w:p>
            <w:r>
              <w:rPr>
                <w:rFonts w:ascii="Calibri" w:hAnsi="Calibri"/>
                <w:sz w:val="22"/>
              </w:rPr>
              <w:t>NTM P/E</w:t>
            </w:r>
          </w:p>
        </w:tc>
        <w:tc>
          <w:tcPr>
            <w:tcW w:type="dxa" w:w="1728"/>
          </w:tcPr>
          <w:p>
            <w:r>
              <w:rPr>
                <w:rFonts w:ascii="Calibri" w:hAnsi="Calibri"/>
                <w:sz w:val="22"/>
              </w:rPr>
              <w:t>31.6x</w:t>
            </w:r>
          </w:p>
        </w:tc>
        <w:tc>
          <w:tcPr>
            <w:tcW w:type="dxa" w:w="1728"/>
          </w:tcPr>
          <w:p>
            <w:r>
              <w:rPr>
                <w:rFonts w:ascii="Calibri" w:hAnsi="Calibri"/>
                <w:sz w:val="22"/>
              </w:rPr>
              <w:t>31.4x</w:t>
            </w:r>
          </w:p>
        </w:tc>
        <w:tc>
          <w:tcPr>
            <w:tcW w:type="dxa" w:w="1728"/>
          </w:tcPr>
          <w:p>
            <w:r>
              <w:rPr>
                <w:rFonts w:ascii="Calibri" w:hAnsi="Calibri"/>
                <w:sz w:val="22"/>
              </w:rPr>
              <w:t>27.7x</w:t>
            </w:r>
          </w:p>
        </w:tc>
        <w:tc>
          <w:tcPr>
            <w:tcW w:type="dxa" w:w="1728"/>
          </w:tcPr>
          <w:p>
            <w:r>
              <w:rPr>
                <w:rFonts w:ascii="Calibri" w:hAnsi="Calibri"/>
                <w:sz w:val="22"/>
              </w:rPr>
              <w:t>28.1x</w:t>
            </w:r>
          </w:p>
        </w:tc>
      </w:tr>
      <w:tr>
        <w:tc>
          <w:tcPr>
            <w:tcW w:type="dxa" w:w="1728"/>
          </w:tcPr>
          <w:p>
            <w:r>
              <w:rPr>
                <w:rFonts w:ascii="Calibri" w:hAnsi="Calibri"/>
                <w:sz w:val="22"/>
              </w:rPr>
              <w:t>NTM P/FCF</w:t>
            </w:r>
          </w:p>
        </w:tc>
        <w:tc>
          <w:tcPr>
            <w:tcW w:type="dxa" w:w="1728"/>
          </w:tcPr>
          <w:p>
            <w:r>
              <w:rPr>
                <w:rFonts w:ascii="Calibri" w:hAnsi="Calibri"/>
                <w:sz w:val="22"/>
              </w:rPr>
              <w:t>20.5x</w:t>
            </w:r>
          </w:p>
        </w:tc>
        <w:tc>
          <w:tcPr>
            <w:tcW w:type="dxa" w:w="1728"/>
          </w:tcPr>
          <w:p>
            <w:r>
              <w:rPr>
                <w:rFonts w:ascii="Calibri" w:hAnsi="Calibri"/>
                <w:sz w:val="22"/>
              </w:rPr>
              <w:t>19.6x</w:t>
            </w:r>
          </w:p>
        </w:tc>
        <w:tc>
          <w:tcPr>
            <w:tcW w:type="dxa" w:w="1728"/>
          </w:tcPr>
          <w:p>
            <w:r>
              <w:rPr>
                <w:rFonts w:ascii="Calibri" w:hAnsi="Calibri"/>
                <w:sz w:val="22"/>
              </w:rPr>
              <w:t>17.5x</w:t>
            </w:r>
          </w:p>
        </w:tc>
        <w:tc>
          <w:tcPr>
            <w:tcW w:type="dxa" w:w="1728"/>
          </w:tcPr>
          <w:p>
            <w:r>
              <w:rPr>
                <w:rFonts w:ascii="Calibri" w:hAnsi="Calibri"/>
                <w:sz w:val="22"/>
              </w:rPr>
              <w:t>17.4x</w:t>
            </w:r>
          </w:p>
        </w:tc>
      </w:tr>
      <w:tr>
        <w:tc>
          <w:tcPr>
            <w:tcW w:type="dxa" w:w="1728"/>
          </w:tcPr>
          <w:p>
            <w:r>
              <w:rPr>
                <w:rFonts w:ascii="Calibri" w:hAnsi="Calibri"/>
                <w:sz w:val="22"/>
              </w:rPr>
              <w:t>Stock Price</w:t>
            </w:r>
          </w:p>
        </w:tc>
        <w:tc>
          <w:tcPr>
            <w:tcW w:type="dxa" w:w="1728"/>
          </w:tcPr>
          <w:p>
            <w:r>
              <w:rPr>
                <w:rFonts w:ascii="Calibri" w:hAnsi="Calibri"/>
                <w:sz w:val="22"/>
              </w:rPr>
              <w:t>$330.51</w:t>
            </w:r>
          </w:p>
        </w:tc>
        <w:tc>
          <w:tcPr>
            <w:tcW w:type="dxa" w:w="1728"/>
          </w:tcPr>
          <w:p>
            <w:r>
              <w:rPr>
                <w:rFonts w:ascii="Calibri" w:hAnsi="Calibri"/>
                <w:sz w:val="22"/>
              </w:rPr>
              <w:t>$302.45</w:t>
            </w:r>
          </w:p>
        </w:tc>
        <w:tc>
          <w:tcPr>
            <w:tcW w:type="dxa" w:w="1728"/>
          </w:tcPr>
          <w:p>
            <w:r>
              <w:rPr>
                <w:rFonts w:ascii="Calibri" w:hAnsi="Calibri"/>
                <w:sz w:val="22"/>
              </w:rPr>
              <w:t>~$279</w:t>
            </w:r>
          </w:p>
        </w:tc>
        <w:tc>
          <w:tcPr>
            <w:tcW w:type="dxa" w:w="1728"/>
          </w:tcPr>
          <w:p>
            <w:r>
              <w:rPr>
                <w:rFonts w:ascii="Calibri" w:hAnsi="Calibri"/>
                <w:sz w:val="22"/>
              </w:rPr>
              <w:t>~$288</w:t>
            </w:r>
          </w:p>
        </w:tc>
      </w:tr>
    </w:tbl>
    <w:p>
      <w:r>
        <w:rPr>
          <w:rFonts w:ascii="Calibri" w:hAnsi="Calibri"/>
          <w:color w:val="525866"/>
          <w:sz w:val="22"/>
        </w:rPr>
        <w:t>Source: Stock Performance Decomposition data. The 6-month and 12-month stock gains have been driven primarily by multiple expansion (NTM P/E up ~14% over 6 months, NTM P/FCF up ~17%), not earnings revisions, which have been essentially flat. This makes the stock more vulnerable to a guidance disappointment but also means a guidance raise could drive further re-rating.</w:t>
      </w:r>
    </w:p>
    <w:p>
      <w:r>
        <w:br w:type="page"/>
      </w:r>
    </w:p>
    <w:p>
      <w:pPr>
        <w:pStyle w:val="Heading2"/>
      </w:pPr>
      <w:r>
        <w:rPr>
          <w:rFonts w:ascii="Calibri" w:hAnsi="Calibri"/>
          <w:b/>
          <w:color w:val="3B4259"/>
          <w:sz w:val="28"/>
        </w:rPr>
        <w:t>6. Material News &amp; Developments (Since Q1 2026 Earnings, April 27, 2026)</w:t>
      </w:r>
    </w:p>
    <w:p>
      <w:r>
        <w:rPr>
          <w:rFonts w:ascii="Calibri" w:hAnsi="Calibri"/>
          <w:b/>
          <w:color w:val="525866"/>
          <w:sz w:val="22"/>
        </w:rPr>
        <w:t xml:space="preserve">Key Takeaway: </w:t>
      </w:r>
      <w:r>
        <w:rPr>
          <w:rFonts w:ascii="Calibri" w:hAnsi="Calibri"/>
          <w:color w:val="525866"/>
          <w:sz w:val="22"/>
        </w:rPr>
        <w:t>The NSA acquisition closing on July 22, 2026 is the single most important development since Q1 earnings — it transforms PSA's portfolio by adding over 1,000 properties and will require a full update to guidance and accretion commentary on the Q2 call. The PS Canada deal announcement and the COO departure are secondary but notable.</w:t>
      </w:r>
    </w:p>
    <w:p>
      <w:pPr>
        <w:pStyle w:val="ListBullet"/>
        <w:ind w:left="360" w:hanging="360"/>
      </w:pPr>
      <w:r>
        <w:rPr>
          <w:rFonts w:ascii="Calibri" w:hAnsi="Calibri"/>
          <w:b/>
          <w:color w:val="525866"/>
          <w:sz w:val="22"/>
        </w:rPr>
        <w:t>July 22, 2026 — NSA Acquisition Closes (Disclosure date = Closing date).</w:t>
      </w:r>
      <w:r>
        <w:rPr>
          <w:rFonts w:ascii="Calibri" w:hAnsi="Calibri"/>
          <w:color w:val="525866"/>
          <w:sz w:val="22"/>
        </w:rPr>
        <w:t xml:space="preserve"> Public Storage completed the acquisition of National Storage Affiliates Trust (NSA) in an all-stock transaction. NSA shareholders received 0.14 PSA shares per NSA share. The combined portfolio now spans over 4,500 properties and 327 million rentable square feet. A joint venture was formed with NSA's legacy limited partners owning ~80% of 313 properties across 28 states and Puerto Rico; PSA holds the remaining interest and exclusively manages the JV, earning property management, asset management, and tenant reinsurance income. The JV secured ~$2B in secured mortgage financing from Goldman Sachs and Wells Fargo, plus $237M in mezzanine financing from PSA. PSA continues to expect the acquisition to be accretive to FFO per share within the first year following closing, rising to $0.35–$0.50/share upon realization of $110–$130M in run-rate synergies over 3–4 years. </w:t>
      </w:r>
      <w:r>
        <w:rPr>
          <w:rFonts w:ascii="Calibri" w:hAnsi="Calibri"/>
          <w:i/>
          <w:color w:val="525866"/>
          <w:sz w:val="22"/>
        </w:rPr>
        <w:t>Implication: Q2 will be the first quarter with NSA contribution; management must update guidance to reflect the close.</w:t>
      </w:r>
    </w:p>
    <w:p>
      <w:pPr>
        <w:pStyle w:val="ListBullet"/>
        <w:ind w:left="360" w:hanging="360"/>
      </w:pPr>
      <w:r>
        <w:rPr>
          <w:rFonts w:ascii="Calibri" w:hAnsi="Calibri"/>
          <w:b/>
          <w:color w:val="525866"/>
          <w:sz w:val="22"/>
        </w:rPr>
        <w:t>July 20, 2026 — PSA Operating Unit Raises $900M in Senior Notes.</w:t>
      </w:r>
      <w:r>
        <w:rPr>
          <w:rFonts w:ascii="Calibri" w:hAnsi="Calibri"/>
          <w:color w:val="525866"/>
          <w:sz w:val="22"/>
        </w:rPr>
        <w:t xml:space="preserve"> Public Storage's operating unit issued $900M in senior notes tied to the NSA acquisition financing. </w:t>
      </w:r>
      <w:r>
        <w:rPr>
          <w:rFonts w:ascii="Calibri" w:hAnsi="Calibri"/>
          <w:i/>
          <w:color w:val="525866"/>
          <w:sz w:val="22"/>
        </w:rPr>
        <w:t>Implication: Confirms the capital structure for the NSA deal is in place; incremental interest expense will be a modest headwind to Core FFO.</w:t>
      </w:r>
    </w:p>
    <w:p>
      <w:pPr>
        <w:pStyle w:val="ListBullet"/>
        <w:ind w:left="360" w:hanging="360"/>
      </w:pPr>
      <w:r>
        <w:rPr>
          <w:rFonts w:ascii="Calibri" w:hAnsi="Calibri"/>
          <w:b/>
          <w:color w:val="525866"/>
          <w:sz w:val="22"/>
        </w:rPr>
        <w:t>July 10, 2026 — PSA Operating Unit Prices $900M Senior Notes Offering.</w:t>
      </w:r>
      <w:r>
        <w:rPr>
          <w:rFonts w:ascii="Calibri" w:hAnsi="Calibri"/>
          <w:color w:val="525866"/>
          <w:sz w:val="22"/>
        </w:rPr>
        <w:t xml:space="preserve"> Pricing of the senior notes offering announced ahead of the NSA close. </w:t>
      </w:r>
      <w:r>
        <w:rPr>
          <w:rFonts w:ascii="Calibri" w:hAnsi="Calibri"/>
          <w:i/>
          <w:color w:val="525866"/>
          <w:sz w:val="22"/>
        </w:rPr>
        <w:t>Implication: Financing execution de-risked the NSA close.</w:t>
      </w:r>
    </w:p>
    <w:p>
      <w:pPr>
        <w:pStyle w:val="ListBullet"/>
        <w:ind w:left="360" w:hanging="360"/>
      </w:pPr>
      <w:r>
        <w:rPr>
          <w:rFonts w:ascii="Calibri" w:hAnsi="Calibri"/>
          <w:b/>
          <w:color w:val="525866"/>
          <w:sz w:val="22"/>
        </w:rPr>
        <w:t>July 7, 2026 — COO Chris Sambar Departs (Disclosed July 7; effective end of July 2026).</w:t>
      </w:r>
      <w:r>
        <w:rPr>
          <w:rFonts w:ascii="Calibri" w:hAnsi="Calibri"/>
          <w:color w:val="525866"/>
          <w:sz w:val="22"/>
        </w:rPr>
        <w:t xml:space="preserve"> Chris Sambar, Chief Operating Officer, resigned effective end of July 2026 to join T-Mobile as Chief Enterprise Officer. The resignation did not relate to any disagreement with the company. Operations leadership will report directly to CEO Tom Boyle until a permanent replacement is identified. </w:t>
      </w:r>
      <w:r>
        <w:rPr>
          <w:rFonts w:ascii="Calibri" w:hAnsi="Calibri"/>
          <w:i/>
          <w:color w:val="525866"/>
          <w:sz w:val="22"/>
        </w:rPr>
        <w:t>Implication: A leadership gap at the COO level during a major integration (NSA) is a modest negative; the market will watch for a replacement announcement.</w:t>
      </w:r>
    </w:p>
    <w:p>
      <w:pPr>
        <w:pStyle w:val="ListBullet"/>
        <w:ind w:left="360" w:hanging="360"/>
      </w:pPr>
      <w:r>
        <w:rPr>
          <w:rFonts w:ascii="Calibri" w:hAnsi="Calibri"/>
          <w:b/>
          <w:color w:val="525866"/>
          <w:sz w:val="22"/>
        </w:rPr>
        <w:t>June 25, 2026 — PSA Secures $3.5B Credit Facility and Launches $1B Commercial Paper Program.</w:t>
      </w:r>
      <w:r>
        <w:rPr>
          <w:rFonts w:ascii="Calibri" w:hAnsi="Calibri"/>
          <w:color w:val="525866"/>
          <w:sz w:val="22"/>
        </w:rPr>
        <w:t xml:space="preserve"> Public Storage established a new $3.5B revolving credit facility and a $1B commercial paper program, significantly expanding its liquidity runway ahead of the NSA close and PS Canada transaction. </w:t>
      </w:r>
      <w:r>
        <w:rPr>
          <w:rFonts w:ascii="Calibri" w:hAnsi="Calibri"/>
          <w:i/>
          <w:color w:val="525866"/>
          <w:sz w:val="22"/>
        </w:rPr>
        <w:t>Implication: Fortress balance sheet reinforced; ample dry powder for continued capital deployment.</w:t>
      </w:r>
    </w:p>
    <w:p>
      <w:pPr>
        <w:pStyle w:val="ListBullet"/>
        <w:ind w:left="360" w:hanging="360"/>
      </w:pPr>
      <w:r>
        <w:rPr>
          <w:rFonts w:ascii="Calibri" w:hAnsi="Calibri"/>
          <w:b/>
          <w:color w:val="525866"/>
          <w:sz w:val="22"/>
        </w:rPr>
        <w:t>June 22, 2026 — PSA Announces Acquisition of PS Canada for ~$1.2B USD ($1.67B CAD) (Announced June 22; expected to close H2 2026).</w:t>
      </w:r>
      <w:r>
        <w:rPr>
          <w:rFonts w:ascii="Calibri" w:hAnsi="Calibri"/>
          <w:color w:val="525866"/>
          <w:sz w:val="22"/>
        </w:rPr>
        <w:t xml:space="preserve"> Public Storage OP agreed to acquire Public Storage Canada from the Tamara Hughes Gustavson family. Consideration: ~$889M in PSA OP units (2.76M OPUs at $321.98/unit) plus ~$310M cash, with an earn-out of up to $288M in OPUs at $375/unit contingent on NOI targets. PS Canada had Q1 2026 same-store occupancy of 83.1% and same-store rents of $23.24 (USD) per occupied sq ft. Going-in NOI yield in the high-5s; high-single-digit compounding NOI growth near-term. </w:t>
      </w:r>
      <w:r>
        <w:rPr>
          <w:rFonts w:ascii="Calibri" w:hAnsi="Calibri"/>
          <w:i/>
          <w:color w:val="525866"/>
          <w:sz w:val="22"/>
        </w:rPr>
        <w:t>Implication: Adds Canadian platform exposure; PS Next operating upside is the key value creation lever. Sellers reinvesting proceeds signals confidence in PSA.</w:t>
      </w:r>
    </w:p>
    <w:p>
      <w:pPr>
        <w:pStyle w:val="ListBullet"/>
        <w:ind w:left="360" w:hanging="360"/>
      </w:pPr>
      <w:r>
        <w:rPr>
          <w:rFonts w:ascii="Calibri" w:hAnsi="Calibri"/>
          <w:b/>
          <w:color w:val="525866"/>
          <w:sz w:val="22"/>
        </w:rPr>
        <w:t>June 1, 2026 — LA State of Emergency Extended.</w:t>
      </w:r>
      <w:r>
        <w:rPr>
          <w:rFonts w:ascii="Calibri" w:hAnsi="Calibri"/>
          <w:color w:val="525866"/>
          <w:sz w:val="22"/>
        </w:rPr>
        <w:t xml:space="preserve"> The Los Angeles state of emergency (which caps rental rate increases) was extended beyond the initial May 2026 expiration. PSA's full-year guidance already assumes the state of emergency remains in place all year (–80 bps to same-store performance), but the extension removes any upside scenario from an early lift. </w:t>
      </w:r>
      <w:r>
        <w:rPr>
          <w:rFonts w:ascii="Calibri" w:hAnsi="Calibri"/>
          <w:i/>
          <w:color w:val="525866"/>
          <w:sz w:val="22"/>
        </w:rPr>
        <w:t>Implication: LA drag will worsen YoY in Q2/Q3 due to comp timing; no near-term relief.</w:t>
      </w:r>
    </w:p>
    <w:p>
      <w:pPr>
        <w:pStyle w:val="ListBullet"/>
        <w:ind w:left="360" w:hanging="360"/>
      </w:pPr>
      <w:r>
        <w:rPr>
          <w:rFonts w:ascii="Calibri" w:hAnsi="Calibri"/>
          <w:b/>
          <w:color w:val="525866"/>
          <w:sz w:val="22"/>
        </w:rPr>
        <w:t>May 11, 2026 — PSA Shareholders Approve All Proposals at Annual Meeting.</w:t>
      </w:r>
      <w:r>
        <w:rPr>
          <w:rFonts w:ascii="Calibri" w:hAnsi="Calibri"/>
          <w:color w:val="525866"/>
          <w:sz w:val="22"/>
        </w:rPr>
        <w:t xml:space="preserve"> All board nominees re-elected and all proposals approved, including the new executive compensation structure tied to per-share earnings growth and total shareholder return. </w:t>
      </w:r>
      <w:r>
        <w:rPr>
          <w:rFonts w:ascii="Calibri" w:hAnsi="Calibri"/>
          <w:i/>
          <w:color w:val="525866"/>
          <w:sz w:val="22"/>
        </w:rPr>
        <w:t>Implication: Governance transition (new CEO, Chairman, compensation structure) fully ratified.</w:t>
      </w:r>
    </w:p>
    <w:p>
      <w:pPr>
        <w:pStyle w:val="ListBullet"/>
        <w:ind w:left="360" w:hanging="360"/>
      </w:pPr>
      <w:r>
        <w:rPr>
          <w:rFonts w:ascii="Calibri" w:hAnsi="Calibri"/>
          <w:b/>
          <w:color w:val="525866"/>
          <w:sz w:val="22"/>
        </w:rPr>
        <w:t>July 28, 2026 — EXR Reports Q2 2026 Results (Peer Read-Through).</w:t>
      </w:r>
      <w:r>
        <w:rPr>
          <w:rFonts w:ascii="Calibri" w:hAnsi="Calibri"/>
          <w:color w:val="525866"/>
          <w:sz w:val="22"/>
        </w:rPr>
        <w:t xml:space="preserve"> Extra Space Storage reported Q2 2026 Core FFO growth of 4.9% YoY, driven by strong occupancy, improving store performance, and expense control. EXR raised its full-year 2026 same-store revenue growth guidance to 1.0%–2.0% (from –0.5% to +1.5%), same-store NOI growth to 0.5%–2.5% (from –2.25% to +1.25%), and Core FFO to $8.25–$8.40/share (from $8.05–$8.35). </w:t>
      </w:r>
      <w:r>
        <w:rPr>
          <w:rFonts w:ascii="Calibri" w:hAnsi="Calibri"/>
          <w:i/>
          <w:color w:val="525866"/>
          <w:sz w:val="22"/>
        </w:rPr>
        <w:t>Implication: Strongest positive read-through for PSA — EXR's guidance raise signals the busy season delivered, supporting the case for PSA to raise its own guidance.</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for PSA in the period since Q1 2026 earnings (April 27, 2026 through July 29, 2026). The absence of insider selling ahead of a major acquisition close and into a rising stock price is a mild positive signal. Notably, at the time of the PS 4.0 launch, Chairman Shankh Mitra and former Chairman Ron Havner both purchased out-of-the-money options to demonstrate commitment to the new strategy — a constructive signal from the prior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reportable open-market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Apr 27 – Jul 29, 2026</w:t>
            </w:r>
          </w:p>
        </w:tc>
        <w:tc>
          <w:tcPr>
            <w:tcW w:type="dxa" w:w="1440"/>
          </w:tcPr>
          <w:p>
            <w:r>
              <w:rPr>
                <w:rFonts w:ascii="Calibri" w:hAnsi="Calibri"/>
                <w:sz w:val="22"/>
              </w:rPr>
              <w:t>No Form 4 open-market buys (code P) or discretionary sales (code S) identified for PSA insiders in the post-Q1 window. Absence of selling into a +8% stock rally is a mild positive.</w:t>
            </w:r>
          </w:p>
        </w:tc>
      </w:tr>
    </w:tbl>
    <w:p>
      <w:r>
        <w:rPr>
          <w:rFonts w:ascii="Calibri" w:hAnsi="Calibri"/>
          <w:color w:val="525866"/>
          <w:sz w:val="22"/>
        </w:rPr>
        <w:t>Source: SEC Form 4 filings database. Only open-market buys (code P) and open-market sales (code S) are included. Grants, awards, and option exercises are excluded. The search covered the period April 27, 2026 through July 29, 2026.</w:t>
      </w:r>
    </w:p>
    <w:p>
      <w:r>
        <w:br w:type="page"/>
      </w:r>
    </w:p>
    <w:p>
      <w:pPr>
        <w:pStyle w:val="Heading2"/>
      </w:pPr>
      <w:r>
        <w:rPr>
          <w:rFonts w:ascii="Calibri" w:hAnsi="Calibri"/>
          <w:b/>
          <w:color w:val="3B4259"/>
          <w:sz w:val="28"/>
        </w:rPr>
        <w:t>8. Peer Commentaries — Current-Quarter Read-Through</w:t>
      </w:r>
    </w:p>
    <w:p>
      <w:r>
        <w:rPr>
          <w:rFonts w:ascii="Calibri" w:hAnsi="Calibri"/>
          <w:b/>
          <w:color w:val="525866"/>
          <w:sz w:val="22"/>
        </w:rPr>
        <w:t xml:space="preserve">Screening criteria: </w:t>
      </w:r>
      <w:r>
        <w:rPr>
          <w:rFonts w:ascii="Calibri" w:hAnsi="Calibri"/>
          <w:color w:val="525866"/>
          <w:sz w:val="22"/>
        </w:rPr>
        <w:t>Only peer commentary issued within the prior 60 days (on or after May 29, 2026) that discusses Q2 2026 operating conditions, forward outlook, or guidance relevant to the current reporting quarter is included. Historical-quarter-only commentary (e.g., Q1 2025 results discussed on a Q1 2025 call) is explicitly excluded. All items below are forward-looking or current-quarter commentary.</w:t>
      </w:r>
    </w:p>
    <w:p>
      <w:pPr>
        <w:pStyle w:val="Heading3"/>
      </w:pPr>
      <w:r>
        <w:rPr>
          <w:rFonts w:ascii="Calibri" w:hAnsi="Calibri"/>
          <w:b/>
          <w:color w:val="3B4259"/>
          <w:sz w:val="24"/>
        </w:rPr>
        <w:t>Extra Space Storage (EXR) — Q2 2026 Earnings Release (July 28, 2026)</w:t>
      </w:r>
    </w:p>
    <w:p>
      <w:r>
        <w:rPr>
          <w:rFonts w:ascii="Calibri" w:hAnsi="Calibri"/>
          <w:b/>
          <w:color w:val="525866"/>
          <w:sz w:val="22"/>
        </w:rPr>
        <w:t xml:space="preserve">Relevance: </w:t>
      </w:r>
      <w:r>
        <w:rPr>
          <w:rFonts w:ascii="Calibri" w:hAnsi="Calibri"/>
          <w:color w:val="525866"/>
          <w:sz w:val="22"/>
        </w:rPr>
        <w:t>EXR is PSA's closest direct peer in self-storage and reports one day before PSA's Q2 call. This is the highest-signal read-through available.</w:t>
      </w:r>
    </w:p>
    <w:p>
      <w:pPr>
        <w:pStyle w:val="ListBullet"/>
        <w:ind w:left="360" w:hanging="360"/>
      </w:pPr>
      <w:r>
        <w:rPr>
          <w:rFonts w:ascii="Calibri" w:hAnsi="Calibri"/>
          <w:b/>
          <w:color w:val="525866"/>
          <w:sz w:val="22"/>
        </w:rPr>
        <w:t xml:space="preserve">Guidance raise signals busy season delivered: </w:t>
      </w:r>
      <w:r>
        <w:rPr>
          <w:rFonts w:ascii="Calibri" w:hAnsi="Calibri"/>
          <w:color w:val="525866"/>
          <w:sz w:val="22"/>
        </w:rPr>
        <w:t xml:space="preserve">EXR raised its full-year 2026 same-store revenue growth guidance to </w:t>
      </w:r>
      <w:r>
        <w:rPr>
          <w:rFonts w:ascii="Calibri" w:hAnsi="Calibri"/>
          <w:b/>
          <w:color w:val="525866"/>
          <w:sz w:val="22"/>
        </w:rPr>
        <w:t>1.0%–2.0%</w:t>
      </w:r>
      <w:r>
        <w:rPr>
          <w:rFonts w:ascii="Calibri" w:hAnsi="Calibri"/>
          <w:color w:val="525866"/>
          <w:sz w:val="22"/>
        </w:rPr>
        <w:t xml:space="preserve"> (from –0.5% to +1.5%), same-store NOI growth to </w:t>
      </w:r>
      <w:r>
        <w:rPr>
          <w:rFonts w:ascii="Calibri" w:hAnsi="Calibri"/>
          <w:b/>
          <w:color w:val="525866"/>
          <w:sz w:val="22"/>
        </w:rPr>
        <w:t>0.5%–2.5%</w:t>
      </w:r>
      <w:r>
        <w:rPr>
          <w:rFonts w:ascii="Calibri" w:hAnsi="Calibri"/>
          <w:color w:val="525866"/>
          <w:sz w:val="22"/>
        </w:rPr>
        <w:t xml:space="preserve"> (from –2.25% to +1.25%), and Core FFO to </w:t>
      </w:r>
      <w:r>
        <w:rPr>
          <w:rFonts w:ascii="Calibri" w:hAnsi="Calibri"/>
          <w:b/>
          <w:color w:val="525866"/>
          <w:sz w:val="22"/>
        </w:rPr>
        <w:t>$8.25–$8.40/share</w:t>
      </w:r>
      <w:r>
        <w:rPr>
          <w:rFonts w:ascii="Calibri" w:hAnsi="Calibri"/>
          <w:color w:val="525866"/>
          <w:sz w:val="22"/>
        </w:rPr>
        <w:t xml:space="preserve"> (from $8.05–$8.35). CEO Joe Margolis cited 'strong occupancy, improving store performance, and smart expense control' as drivers of 4.9% Core FFO growth in Q2. This is a direct positive read-through for PSA: if EXR's same-store portfolio is inflecting positively, PSA's should follow, and the case for PSA to raise its own guidance is materially strengthened.</w:t>
      </w:r>
    </w:p>
    <w:p>
      <w:pPr>
        <w:pStyle w:val="ListBullet"/>
        <w:ind w:left="360" w:hanging="360"/>
      </w:pPr>
      <w:r>
        <w:rPr>
          <w:rFonts w:ascii="Calibri" w:hAnsi="Calibri"/>
          <w:b/>
          <w:color w:val="525866"/>
          <w:sz w:val="22"/>
        </w:rPr>
        <w:t xml:space="preserve">Expense control better than expected: </w:t>
      </w:r>
      <w:r>
        <w:rPr>
          <w:rFonts w:ascii="Calibri" w:hAnsi="Calibri"/>
          <w:color w:val="525866"/>
          <w:sz w:val="22"/>
        </w:rPr>
        <w:t xml:space="preserve">EXR lowered its full-year same-store expense growth guidance to </w:t>
      </w:r>
      <w:r>
        <w:rPr>
          <w:rFonts w:ascii="Calibri" w:hAnsi="Calibri"/>
          <w:b/>
          <w:color w:val="525866"/>
          <w:sz w:val="22"/>
        </w:rPr>
        <w:t>1.0%–2.0%</w:t>
      </w:r>
      <w:r>
        <w:rPr>
          <w:rFonts w:ascii="Calibri" w:hAnsi="Calibri"/>
          <w:color w:val="525866"/>
          <w:sz w:val="22"/>
        </w:rPr>
        <w:t xml:space="preserve"> (from 2.0%–3.5%), signaling sector-wide cost discipline. PSA's Q1 expense growth was already –1.1%; EXR's data suggests the favorable expense environment is persisting into Q2.</w:t>
      </w:r>
    </w:p>
    <w:p>
      <w:pPr>
        <w:pStyle w:val="ListBullet"/>
        <w:ind w:left="360" w:hanging="360"/>
      </w:pPr>
      <w:r>
        <w:rPr>
          <w:rFonts w:ascii="Calibri" w:hAnsi="Calibri"/>
          <w:b/>
          <w:color w:val="525866"/>
          <w:sz w:val="22"/>
        </w:rPr>
        <w:t xml:space="preserve">Acquisition market more active: </w:t>
      </w:r>
      <w:r>
        <w:rPr>
          <w:rFonts w:ascii="Calibri" w:hAnsi="Calibri"/>
          <w:color w:val="525866"/>
          <w:sz w:val="22"/>
        </w:rPr>
        <w:t xml:space="preserve">EXR raised its full-year acquisition guidance to </w:t>
      </w:r>
      <w:r>
        <w:rPr>
          <w:rFonts w:ascii="Calibri" w:hAnsi="Calibri"/>
          <w:b/>
          <w:color w:val="525866"/>
          <w:sz w:val="22"/>
        </w:rPr>
        <w:t>$300M</w:t>
      </w:r>
      <w:r>
        <w:rPr>
          <w:rFonts w:ascii="Calibri" w:hAnsi="Calibri"/>
          <w:color w:val="525866"/>
          <w:sz w:val="22"/>
        </w:rPr>
        <w:t xml:space="preserve"> (from $200M), indicating a more active transaction market. This is consistent with PSA's own accelerated capital deployment thesis under the Value Creation Engine.</w:t>
      </w:r>
    </w:p>
    <w:p>
      <w:pPr>
        <w:pStyle w:val="ListBullet"/>
        <w:ind w:left="360" w:hanging="360"/>
      </w:pPr>
      <w:r>
        <w:rPr>
          <w:rFonts w:ascii="Calibri" w:hAnsi="Calibri"/>
          <w:b/>
          <w:color w:val="525866"/>
          <w:sz w:val="22"/>
        </w:rPr>
        <w:t xml:space="preserve">Ancillary income growing: </w:t>
      </w:r>
      <w:r>
        <w:rPr>
          <w:rFonts w:ascii="Calibri" w:hAnsi="Calibri"/>
          <w:color w:val="525866"/>
          <w:sz w:val="22"/>
        </w:rPr>
        <w:t>EXR raised its net tenant reinsurance income guidance to $294–$296M (from $289–$292M), consistent with PSA's own ancillary income growth of 12% in Q1 2026.</w:t>
      </w:r>
    </w:p>
    <w:p>
      <w:r>
        <w:rPr>
          <w:rFonts w:ascii="Calibri" w:hAnsi="Calibri"/>
          <w:color w:val="525866"/>
          <w:sz w:val="22"/>
        </w:rPr>
        <w:t>Source: EXR Q2 2026 Earnings Release (July 28, 2026) and press release (July 28, 2026). Disclosure date = July 28, 2026.</w:t>
      </w:r>
    </w:p>
    <w:p>
      <w:pPr>
        <w:pStyle w:val="Heading3"/>
      </w:pPr>
      <w:r>
        <w:rPr>
          <w:rFonts w:ascii="Calibri" w:hAnsi="Calibri"/>
          <w:b/>
          <w:color w:val="3B4259"/>
          <w:sz w:val="24"/>
        </w:rPr>
        <w:t>SmartStop Self Storage REIT (SMA) — Shareholder Letter (July 20, 2026)</w:t>
      </w:r>
    </w:p>
    <w:p>
      <w:r>
        <w:rPr>
          <w:rFonts w:ascii="Calibri" w:hAnsi="Calibri"/>
          <w:b/>
          <w:color w:val="525866"/>
          <w:sz w:val="22"/>
        </w:rPr>
        <w:t xml:space="preserve">Relevance: </w:t>
      </w:r>
      <w:r>
        <w:rPr>
          <w:rFonts w:ascii="Calibri" w:hAnsi="Calibri"/>
          <w:color w:val="525866"/>
          <w:sz w:val="22"/>
        </w:rPr>
        <w:t>SmartStop is a smaller self-storage REIT with significant exposure to major US MSAs and Canadian markets. Its July 2026 shareholder letter provides a current-quarter view on sector fundamentals.</w:t>
      </w:r>
    </w:p>
    <w:p>
      <w:pPr>
        <w:pStyle w:val="ListBullet"/>
        <w:ind w:left="360" w:hanging="360"/>
      </w:pPr>
      <w:r>
        <w:rPr>
          <w:rFonts w:ascii="Calibri" w:hAnsi="Calibri"/>
          <w:b/>
          <w:color w:val="525866"/>
          <w:sz w:val="22"/>
        </w:rPr>
        <w:t xml:space="preserve">Supply wave has crested: </w:t>
      </w:r>
      <w:r>
        <w:rPr>
          <w:rFonts w:ascii="Calibri" w:hAnsi="Calibri"/>
          <w:color w:val="525866"/>
          <w:sz w:val="22"/>
        </w:rPr>
        <w:t>SmartStop stated explicitly: 'We believe the self-storage sector is recovering, the supply wave has crested, and demographics are strengthening.' This is a direct positive read-through for PSA's supply outlook thesis, which has been a key pillar of the bull case.</w:t>
      </w:r>
    </w:p>
    <w:p>
      <w:pPr>
        <w:pStyle w:val="ListBullet"/>
        <w:ind w:left="360" w:hanging="360"/>
      </w:pPr>
      <w:r>
        <w:rPr>
          <w:rFonts w:ascii="Calibri" w:hAnsi="Calibri"/>
          <w:b/>
          <w:color w:val="525866"/>
          <w:sz w:val="22"/>
        </w:rPr>
        <w:t xml:space="preserve">Move-in rates stabilizing for first time since spring 2022: </w:t>
      </w:r>
      <w:r>
        <w:rPr>
          <w:rFonts w:ascii="Calibri" w:hAnsi="Calibri"/>
          <w:color w:val="525866"/>
          <w:sz w:val="22"/>
        </w:rPr>
        <w:t>SmartStop noted: 'For the first time since spring 2022, move-in rates are stabilizing, and occupancies are in line with or above historical averages.' This corroborates PSA's own April commentary that move-in rates had turned flat to slightly positive — a meaningful inflection if sustained through Q2.</w:t>
      </w:r>
    </w:p>
    <w:p>
      <w:pPr>
        <w:pStyle w:val="ListBullet"/>
        <w:ind w:left="360" w:hanging="360"/>
      </w:pPr>
      <w:r>
        <w:rPr>
          <w:rFonts w:ascii="Calibri" w:hAnsi="Calibri"/>
          <w:b/>
          <w:color w:val="525866"/>
          <w:sz w:val="22"/>
        </w:rPr>
        <w:t xml:space="preserve">Best acquisition environment since the Great Recession: </w:t>
      </w:r>
      <w:r>
        <w:rPr>
          <w:rFonts w:ascii="Calibri" w:hAnsi="Calibri"/>
          <w:color w:val="525866"/>
          <w:sz w:val="22"/>
        </w:rPr>
        <w:t>SmartStop described current conditions as 'one of the best acquisition environments since the Great Recession on a risk-adjusted basis,' with Class A properties available at mid-5% going-in cap rates. This validates PSA's Value Creation Engine thesis and the strategic rationale for the NSA and PS Canada acquisitions.</w:t>
      </w:r>
    </w:p>
    <w:p>
      <w:pPr>
        <w:pStyle w:val="ListBullet"/>
        <w:ind w:left="360" w:hanging="360"/>
      </w:pPr>
      <w:r>
        <w:rPr>
          <w:rFonts w:ascii="Calibri" w:hAnsi="Calibri"/>
          <w:b/>
          <w:color w:val="525866"/>
          <w:sz w:val="22"/>
        </w:rPr>
        <w:t xml:space="preserve">Absorption cycle underway: </w:t>
      </w:r>
      <w:r>
        <w:rPr>
          <w:rFonts w:ascii="Calibri" w:hAnsi="Calibri"/>
          <w:color w:val="525866"/>
          <w:sz w:val="22"/>
        </w:rPr>
        <w:t>SmartStop described 'the absorption cycle underway today' following the COVID demand surge and subsequent supply wave, suggesting the sector is in the early stages of a multi-year recovery. This is consistent with PSA's view that new supply will continue declining through 2027.</w:t>
      </w:r>
    </w:p>
    <w:p>
      <w:pPr>
        <w:pStyle w:val="ListBullet"/>
        <w:ind w:left="360" w:hanging="360"/>
      </w:pPr>
      <w:r>
        <w:rPr>
          <w:rFonts w:ascii="Calibri" w:hAnsi="Calibri"/>
          <w:b/>
          <w:color w:val="525866"/>
          <w:sz w:val="22"/>
        </w:rPr>
        <w:t xml:space="preserve">LA market context: </w:t>
      </w:r>
      <w:r>
        <w:rPr>
          <w:rFonts w:ascii="Calibri" w:hAnsi="Calibri"/>
          <w:color w:val="525866"/>
          <w:sz w:val="22"/>
        </w:rPr>
        <w:t>SmartStop cited Los Angeles as one of its largest markets, with 'rents and occupancies consistent with large-cap peers.' This provides context for PSA's LA exposure — the market is performing in line with peers despite the state-of-emergency pricing cap, suggesting the underlying demand is intact.</w:t>
      </w:r>
    </w:p>
    <w:p>
      <w:r>
        <w:rPr>
          <w:rFonts w:ascii="Calibri" w:hAnsi="Calibri"/>
          <w:color w:val="525866"/>
          <w:sz w:val="22"/>
        </w:rPr>
        <w:t>Source: SmartStop Self Storage REIT Shareholder Letter (8-K EX-99.1, July 20, 2026). Disclosure date = July 20, 2026. Note: This is a shareholder letter discussing current market conditions and forward strategy, not a historical earnings report.</w:t>
      </w:r>
    </w:p>
    <w:p>
      <w:pPr>
        <w:pStyle w:val="Heading3"/>
      </w:pPr>
      <w:r>
        <w:rPr>
          <w:rFonts w:ascii="Calibri" w:hAnsi="Calibri"/>
          <w:b/>
          <w:color w:val="3B4259"/>
          <w:sz w:val="24"/>
        </w:rPr>
        <w:t>Broader REIT Sector Read-Throughs (Q2 2026 Earnings Season)</w:t>
      </w:r>
    </w:p>
    <w:p>
      <w:r>
        <w:rPr>
          <w:rFonts w:ascii="Calibri" w:hAnsi="Calibri"/>
          <w:color w:val="525866"/>
          <w:sz w:val="22"/>
        </w:rPr>
        <w:t>The following commentary from adjacent REIT sectors reported in the last 60 days provides macro and sector context relevant to PSA's Q2 print:</w:t>
      </w:r>
    </w:p>
    <w:p>
      <w:pPr>
        <w:pStyle w:val="ListBullet"/>
        <w:ind w:left="360" w:hanging="360"/>
      </w:pPr>
      <w:r>
        <w:rPr>
          <w:rFonts w:ascii="Calibri" w:hAnsi="Calibri"/>
          <w:b/>
          <w:color w:val="525866"/>
          <w:sz w:val="22"/>
        </w:rPr>
        <w:t xml:space="preserve">AvalonBay (AVB) — Q2 2026 (July 22–23, 2026): </w:t>
      </w:r>
      <w:r>
        <w:rPr>
          <w:rFonts w:ascii="Calibri" w:hAnsi="Calibri"/>
          <w:color w:val="525866"/>
          <w:sz w:val="22"/>
        </w:rPr>
        <w:t xml:space="preserve">AVB reported Q2 FFO of $2.86 vs. Street $2.81 and raised full-year NOI guidance, citing 'high-quality portfolio in supply-constrained markets and consistent operational execution.' Same-store revenue growth driven by strong occupancy and better-than-anticipated renewal rates, with San Francisco market showing particular strength. </w:t>
      </w:r>
      <w:r>
        <w:rPr>
          <w:rFonts w:ascii="Calibri" w:hAnsi="Calibri"/>
          <w:b/>
          <w:color w:val="525866"/>
          <w:sz w:val="22"/>
        </w:rPr>
        <w:t xml:space="preserve">Read-through: </w:t>
      </w:r>
      <w:r>
        <w:rPr>
          <w:rFonts w:ascii="Calibri" w:hAnsi="Calibri"/>
          <w:color w:val="525866"/>
          <w:sz w:val="22"/>
        </w:rPr>
        <w:t>Positive for PSA — residential REIT strength in supply-constrained markets (including LA) suggests underlying real estate demand is healthy, supporting the view that PSA's LA occupancy is resilient despite pricing caps.</w:t>
      </w:r>
    </w:p>
    <w:p>
      <w:pPr>
        <w:pStyle w:val="ListBullet"/>
        <w:ind w:left="360" w:hanging="360"/>
      </w:pPr>
      <w:r>
        <w:rPr>
          <w:rFonts w:ascii="Calibri" w:hAnsi="Calibri"/>
          <w:b/>
          <w:color w:val="525866"/>
          <w:sz w:val="22"/>
        </w:rPr>
        <w:t xml:space="preserve">Equity Residential (EQR) — Q2 2026 (July 22–23, 2026): </w:t>
      </w:r>
      <w:r>
        <w:rPr>
          <w:rFonts w:ascii="Calibri" w:hAnsi="Calibri"/>
          <w:color w:val="525866"/>
          <w:sz w:val="22"/>
        </w:rPr>
        <w:t xml:space="preserve">EQR reported modest FFO upside ($1.02 vs. $1.01 consensus) and tweaked full-year guidance higher. Same-store revenue growth driven by strong occupancy and better-than-anticipated renewal rates; guidance increase driven by San Francisco market momentum and improvements in bad debt across the portfolio. </w:t>
      </w:r>
      <w:r>
        <w:rPr>
          <w:rFonts w:ascii="Calibri" w:hAnsi="Calibri"/>
          <w:b/>
          <w:color w:val="525866"/>
          <w:sz w:val="22"/>
        </w:rPr>
        <w:t xml:space="preserve">Read-through: </w:t>
      </w:r>
      <w:r>
        <w:rPr>
          <w:rFonts w:ascii="Calibri" w:hAnsi="Calibri"/>
          <w:color w:val="525866"/>
          <w:sz w:val="22"/>
        </w:rPr>
        <w:t>Consistent with the broader theme of improving occupancy and renewal rates in major coastal markets, which is relevant to PSA's same-store portfolio.</w:t>
      </w:r>
    </w:p>
    <w:p>
      <w:pPr>
        <w:pStyle w:val="ListBullet"/>
        <w:ind w:left="360" w:hanging="360"/>
      </w:pPr>
      <w:r>
        <w:rPr>
          <w:rFonts w:ascii="Calibri" w:hAnsi="Calibri"/>
          <w:b/>
          <w:color w:val="525866"/>
          <w:sz w:val="22"/>
        </w:rPr>
        <w:t xml:space="preserve">BXP Inc. (BXP) — Q2 2026 (July 28, 2026): </w:t>
      </w:r>
      <w:r>
        <w:rPr>
          <w:rFonts w:ascii="Calibri" w:hAnsi="Calibri"/>
          <w:color w:val="525866"/>
          <w:sz w:val="22"/>
        </w:rPr>
        <w:t xml:space="preserve">BXP reported FFO of $1.78/share vs. Street $1.70, driven by higher occupancy and lower expenses, with full-year guidance raised. Total portfolio occupancy rose to 88.4% (+100 bps from Q1), supported by strong leasing volumes of 1.8M sq ft. </w:t>
      </w:r>
      <w:r>
        <w:rPr>
          <w:rFonts w:ascii="Calibri" w:hAnsi="Calibri"/>
          <w:b/>
          <w:color w:val="525866"/>
          <w:sz w:val="22"/>
        </w:rPr>
        <w:t xml:space="preserve">Read-through: </w:t>
      </w:r>
      <w:r>
        <w:rPr>
          <w:rFonts w:ascii="Calibri" w:hAnsi="Calibri"/>
          <w:color w:val="525866"/>
          <w:sz w:val="22"/>
        </w:rPr>
        <w:t>Broad REIT sector is delivering positive Q2 surprises with guidance raises — sets a constructive backdrop for PSA's print.</w:t>
      </w:r>
    </w:p>
    <w:p>
      <w:pPr>
        <w:pStyle w:val="ListBullet"/>
        <w:ind w:left="360" w:hanging="360"/>
      </w:pPr>
      <w:r>
        <w:rPr>
          <w:rFonts w:ascii="Calibri" w:hAnsi="Calibri"/>
          <w:b/>
          <w:color w:val="525866"/>
          <w:sz w:val="22"/>
        </w:rPr>
        <w:t xml:space="preserve">Prologis (PLD) — Q2 2026 (July 16–17, 2026): </w:t>
      </w:r>
      <w:r>
        <w:rPr>
          <w:rFonts w:ascii="Calibri" w:hAnsi="Calibri"/>
          <w:color w:val="525866"/>
          <w:sz w:val="22"/>
        </w:rPr>
        <w:t xml:space="preserve">PLD was identified as an upside standout in Q2 earnings. The company is also pursuing a major acquisition (Segro, ~GBP 13.5B), reflecting the broader theme of large-cap REITs using their balance sheet strength to consolidate. </w:t>
      </w:r>
      <w:r>
        <w:rPr>
          <w:rFonts w:ascii="Calibri" w:hAnsi="Calibri"/>
          <w:b/>
          <w:color w:val="525866"/>
          <w:sz w:val="22"/>
        </w:rPr>
        <w:t xml:space="preserve">Read-through: </w:t>
      </w:r>
      <w:r>
        <w:rPr>
          <w:rFonts w:ascii="Calibri" w:hAnsi="Calibri"/>
          <w:color w:val="525866"/>
          <w:sz w:val="22"/>
        </w:rPr>
        <w:t>Validates PSA's own consolidation strategy (NSA + PS Canada); large-cap REIT M&amp;A is in vogue and being rewarded by the market.</w:t>
      </w:r>
    </w:p>
    <w:p>
      <w:r>
        <w:rPr>
          <w:rFonts w:ascii="Calibri" w:hAnsi="Calibri"/>
          <w:color w:val="525866"/>
          <w:sz w:val="22"/>
        </w:rPr>
        <w:t>Source: News Digest (July 22–28, 2026); SEC filings for AVB, EQR, BXP, PLD. All commentary relates to Q2 2026 results or forward guidance, not historical quarters.</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Key Commentary (Current Quarter / Forward)</w:t>
            </w:r>
          </w:p>
        </w:tc>
        <w:tc>
          <w:tcPr>
            <w:tcW w:type="dxa" w:w="1728"/>
            <w:shd w:val="clear" w:color="auto" w:fill="3B4259"/>
          </w:tcPr>
          <w:p>
            <w:r>
              <w:rPr>
                <w:rFonts w:ascii="Calibri" w:hAnsi="Calibri"/>
                <w:b/>
                <w:color w:val="FFFFFF"/>
                <w:sz w:val="22"/>
              </w:rPr>
              <w:t>PSA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EXR</w:t>
            </w:r>
          </w:p>
        </w:tc>
        <w:tc>
          <w:tcPr>
            <w:tcW w:type="dxa" w:w="1728"/>
          </w:tcPr>
          <w:p>
            <w:r>
              <w:rPr>
                <w:rFonts w:ascii="Calibri" w:hAnsi="Calibri"/>
                <w:sz w:val="22"/>
              </w:rPr>
              <w:t>Jul 28, 2026</w:t>
            </w:r>
          </w:p>
        </w:tc>
        <w:tc>
          <w:tcPr>
            <w:tcW w:type="dxa" w:w="1728"/>
          </w:tcPr>
          <w:p>
            <w:r>
              <w:rPr>
                <w:rFonts w:ascii="Calibri" w:hAnsi="Calibri"/>
                <w:sz w:val="22"/>
              </w:rPr>
              <w:t>Raised FY SS revenue growth to 1–2%, SS NOI growth to 0.5–2.5%, Core FFO to $8.25–$8.40; 4.9% Core FFO growth in Q2; strong occupancy and expense control</w:t>
            </w:r>
          </w:p>
        </w:tc>
        <w:tc>
          <w:tcPr>
            <w:tcW w:type="dxa" w:w="1728"/>
          </w:tcPr>
          <w:p>
            <w:r>
              <w:rPr>
                <w:rFonts w:ascii="Calibri" w:hAnsi="Calibri"/>
                <w:b/>
                <w:color w:val="30A46C"/>
                <w:sz w:val="22"/>
              </w:rPr>
              <w:t>Busy season delivered; PSA guidance raise likely; sector-wide expense discipline persisting</w:t>
            </w:r>
          </w:p>
        </w:tc>
        <w:tc>
          <w:tcPr>
            <w:tcW w:type="dxa" w:w="1728"/>
          </w:tcPr>
          <w:p>
            <w:r>
              <w:rPr>
                <w:rFonts w:ascii="Calibri" w:hAnsi="Calibri"/>
                <w:sz w:val="22"/>
              </w:rPr>
              <w:t>↑↑ Positive</w:t>
            </w:r>
          </w:p>
        </w:tc>
      </w:tr>
      <w:tr>
        <w:tc>
          <w:tcPr>
            <w:tcW w:type="dxa" w:w="1728"/>
          </w:tcPr>
          <w:p>
            <w:r>
              <w:rPr>
                <w:rFonts w:ascii="Calibri" w:hAnsi="Calibri"/>
                <w:sz w:val="22"/>
              </w:rPr>
              <w:t>SMA</w:t>
            </w:r>
          </w:p>
        </w:tc>
        <w:tc>
          <w:tcPr>
            <w:tcW w:type="dxa" w:w="1728"/>
          </w:tcPr>
          <w:p>
            <w:r>
              <w:rPr>
                <w:rFonts w:ascii="Calibri" w:hAnsi="Calibri"/>
                <w:sz w:val="22"/>
              </w:rPr>
              <w:t>Jul 20, 2026</w:t>
            </w:r>
          </w:p>
        </w:tc>
        <w:tc>
          <w:tcPr>
            <w:tcW w:type="dxa" w:w="1728"/>
          </w:tcPr>
          <w:p>
            <w:r>
              <w:rPr>
                <w:rFonts w:ascii="Calibri" w:hAnsi="Calibri"/>
                <w:sz w:val="22"/>
              </w:rPr>
              <w:t>Supply wave has crested; move-in rates stabilizing for first time since spring 2022; best acquisition environment since Great Recession; absorption cycle underway</w:t>
            </w:r>
          </w:p>
        </w:tc>
        <w:tc>
          <w:tcPr>
            <w:tcW w:type="dxa" w:w="1728"/>
          </w:tcPr>
          <w:p>
            <w:r>
              <w:rPr>
                <w:rFonts w:ascii="Calibri" w:hAnsi="Calibri"/>
                <w:b/>
                <w:color w:val="30A46C"/>
                <w:sz w:val="22"/>
              </w:rPr>
              <w:t>Validates PSA's supply thesis and acquisition strategy; move-in rate inflection corroborates April trends</w:t>
            </w:r>
          </w:p>
        </w:tc>
        <w:tc>
          <w:tcPr>
            <w:tcW w:type="dxa" w:w="1728"/>
          </w:tcPr>
          <w:p>
            <w:r>
              <w:rPr>
                <w:rFonts w:ascii="Calibri" w:hAnsi="Calibri"/>
                <w:sz w:val="22"/>
              </w:rPr>
              <w:t>↑ Positive</w:t>
            </w:r>
          </w:p>
        </w:tc>
      </w:tr>
      <w:tr>
        <w:tc>
          <w:tcPr>
            <w:tcW w:type="dxa" w:w="1728"/>
          </w:tcPr>
          <w:p>
            <w:r>
              <w:rPr>
                <w:rFonts w:ascii="Calibri" w:hAnsi="Calibri"/>
                <w:sz w:val="22"/>
              </w:rPr>
              <w:t>AVB</w:t>
            </w:r>
          </w:p>
        </w:tc>
        <w:tc>
          <w:tcPr>
            <w:tcW w:type="dxa" w:w="1728"/>
          </w:tcPr>
          <w:p>
            <w:r>
              <w:rPr>
                <w:rFonts w:ascii="Calibri" w:hAnsi="Calibri"/>
                <w:sz w:val="22"/>
              </w:rPr>
              <w:t>Jul 22–23, 2026</w:t>
            </w:r>
          </w:p>
        </w:tc>
        <w:tc>
          <w:tcPr>
            <w:tcW w:type="dxa" w:w="1728"/>
          </w:tcPr>
          <w:p>
            <w:r>
              <w:rPr>
                <w:rFonts w:ascii="Calibri" w:hAnsi="Calibri"/>
                <w:sz w:val="22"/>
              </w:rPr>
              <w:t>Q2 FFO beat; raised FY NOI guidance; strong occupancy and renewal rates in supply-constrained markets; SF market strength</w:t>
            </w:r>
          </w:p>
        </w:tc>
        <w:tc>
          <w:tcPr>
            <w:tcW w:type="dxa" w:w="1728"/>
          </w:tcPr>
          <w:p>
            <w:r>
              <w:rPr>
                <w:rFonts w:ascii="Calibri" w:hAnsi="Calibri"/>
                <w:sz w:val="22"/>
              </w:rPr>
              <w:t>Healthy underlying real estate demand in major coastal markets supports PSA occupancy resilience</w:t>
            </w:r>
          </w:p>
        </w:tc>
        <w:tc>
          <w:tcPr>
            <w:tcW w:type="dxa" w:w="1728"/>
          </w:tcPr>
          <w:p>
            <w:r>
              <w:rPr>
                <w:rFonts w:ascii="Calibri" w:hAnsi="Calibri"/>
                <w:sz w:val="22"/>
              </w:rPr>
              <w:t>↑ Positive</w:t>
            </w:r>
          </w:p>
        </w:tc>
      </w:tr>
      <w:tr>
        <w:tc>
          <w:tcPr>
            <w:tcW w:type="dxa" w:w="1728"/>
          </w:tcPr>
          <w:p>
            <w:r>
              <w:rPr>
                <w:rFonts w:ascii="Calibri" w:hAnsi="Calibri"/>
                <w:sz w:val="22"/>
              </w:rPr>
              <w:t>EQR</w:t>
            </w:r>
          </w:p>
        </w:tc>
        <w:tc>
          <w:tcPr>
            <w:tcW w:type="dxa" w:w="1728"/>
          </w:tcPr>
          <w:p>
            <w:r>
              <w:rPr>
                <w:rFonts w:ascii="Calibri" w:hAnsi="Calibri"/>
                <w:sz w:val="22"/>
              </w:rPr>
              <w:t>Jul 22–23, 2026</w:t>
            </w:r>
          </w:p>
        </w:tc>
        <w:tc>
          <w:tcPr>
            <w:tcW w:type="dxa" w:w="1728"/>
          </w:tcPr>
          <w:p>
            <w:r>
              <w:rPr>
                <w:rFonts w:ascii="Calibri" w:hAnsi="Calibri"/>
                <w:sz w:val="22"/>
              </w:rPr>
              <w:t>Modest FFO beat; guidance tweaked higher; strong occupancy and renewal rates; bad debt improving</w:t>
            </w:r>
          </w:p>
        </w:tc>
        <w:tc>
          <w:tcPr>
            <w:tcW w:type="dxa" w:w="1728"/>
          </w:tcPr>
          <w:p>
            <w:r>
              <w:rPr>
                <w:rFonts w:ascii="Calibri" w:hAnsi="Calibri"/>
                <w:sz w:val="22"/>
              </w:rPr>
              <w:t>Improving occupancy and renewal trends in major markets consistent with PSA's same-store setup</w:t>
            </w:r>
          </w:p>
        </w:tc>
        <w:tc>
          <w:tcPr>
            <w:tcW w:type="dxa" w:w="1728"/>
          </w:tcPr>
          <w:p>
            <w:r>
              <w:rPr>
                <w:rFonts w:ascii="Calibri" w:hAnsi="Calibri"/>
                <w:sz w:val="22"/>
              </w:rPr>
              <w:t>↑ Positive</w:t>
            </w:r>
          </w:p>
        </w:tc>
      </w:tr>
      <w:tr>
        <w:tc>
          <w:tcPr>
            <w:tcW w:type="dxa" w:w="1728"/>
          </w:tcPr>
          <w:p>
            <w:r>
              <w:rPr>
                <w:rFonts w:ascii="Calibri" w:hAnsi="Calibri"/>
                <w:sz w:val="22"/>
              </w:rPr>
              <w:t>BXP</w:t>
            </w:r>
          </w:p>
        </w:tc>
        <w:tc>
          <w:tcPr>
            <w:tcW w:type="dxa" w:w="1728"/>
          </w:tcPr>
          <w:p>
            <w:r>
              <w:rPr>
                <w:rFonts w:ascii="Calibri" w:hAnsi="Calibri"/>
                <w:sz w:val="22"/>
              </w:rPr>
              <w:t>Jul 28, 2026</w:t>
            </w:r>
          </w:p>
        </w:tc>
        <w:tc>
          <w:tcPr>
            <w:tcW w:type="dxa" w:w="1728"/>
          </w:tcPr>
          <w:p>
            <w:r>
              <w:rPr>
                <w:rFonts w:ascii="Calibri" w:hAnsi="Calibri"/>
                <w:sz w:val="22"/>
              </w:rPr>
              <w:t>FFO beat ($1.78 vs. $1.70); occupancy +100 bps QoQ; full-year guidance raised; strong leasing volumes</w:t>
            </w:r>
          </w:p>
        </w:tc>
        <w:tc>
          <w:tcPr>
            <w:tcW w:type="dxa" w:w="1728"/>
          </w:tcPr>
          <w:p>
            <w:r>
              <w:rPr>
                <w:rFonts w:ascii="Calibri" w:hAnsi="Calibri"/>
                <w:sz w:val="22"/>
              </w:rPr>
              <w:t>Broad REIT sector delivering positive Q2 surprises; constructive backdrop for PSA print</w:t>
            </w:r>
          </w:p>
        </w:tc>
        <w:tc>
          <w:tcPr>
            <w:tcW w:type="dxa" w:w="1728"/>
          </w:tcPr>
          <w:p>
            <w:r>
              <w:rPr>
                <w:rFonts w:ascii="Calibri" w:hAnsi="Calibri"/>
                <w:sz w:val="22"/>
              </w:rPr>
              <w:t>↑ Positive</w:t>
            </w:r>
          </w:p>
        </w:tc>
      </w:tr>
      <w:tr>
        <w:tc>
          <w:tcPr>
            <w:tcW w:type="dxa" w:w="1728"/>
          </w:tcPr>
          <w:p>
            <w:r>
              <w:rPr>
                <w:rFonts w:ascii="Calibri" w:hAnsi="Calibri"/>
                <w:sz w:val="22"/>
              </w:rPr>
              <w:t>PLD</w:t>
            </w:r>
          </w:p>
        </w:tc>
        <w:tc>
          <w:tcPr>
            <w:tcW w:type="dxa" w:w="1728"/>
          </w:tcPr>
          <w:p>
            <w:r>
              <w:rPr>
                <w:rFonts w:ascii="Calibri" w:hAnsi="Calibri"/>
                <w:sz w:val="22"/>
              </w:rPr>
              <w:t>Jul 16–17, 2026</w:t>
            </w:r>
          </w:p>
        </w:tc>
        <w:tc>
          <w:tcPr>
            <w:tcW w:type="dxa" w:w="1728"/>
          </w:tcPr>
          <w:p>
            <w:r>
              <w:rPr>
                <w:rFonts w:ascii="Calibri" w:hAnsi="Calibri"/>
                <w:sz w:val="22"/>
              </w:rPr>
              <w:t>Q2 upside standout; pursuing Segro acquisition (~GBP 13.5B); large-cap REIT consolidation theme</w:t>
            </w:r>
          </w:p>
        </w:tc>
        <w:tc>
          <w:tcPr>
            <w:tcW w:type="dxa" w:w="1728"/>
          </w:tcPr>
          <w:p>
            <w:r>
              <w:rPr>
                <w:rFonts w:ascii="Calibri" w:hAnsi="Calibri"/>
                <w:sz w:val="22"/>
              </w:rPr>
              <w:t>Validates PSA's consolidation strategy; large-cap REIT M&amp;A being rewarded by market</w:t>
            </w:r>
          </w:p>
        </w:tc>
        <w:tc>
          <w:tcPr>
            <w:tcW w:type="dxa" w:w="1728"/>
          </w:tcPr>
          <w:p>
            <w:r>
              <w:rPr>
                <w:rFonts w:ascii="Calibri" w:hAnsi="Calibri"/>
                <w:sz w:val="22"/>
              </w:rPr>
              <w:t>↑ Positive</w:t>
            </w:r>
          </w:p>
        </w:tc>
      </w:tr>
    </w:tbl>
    <w:p>
      <w:r>
        <w:rPr>
          <w:rFonts w:ascii="Calibri" w:hAnsi="Calibri"/>
          <w:b/>
          <w:color w:val="525866"/>
          <w:sz w:val="22"/>
        </w:rPr>
        <w:t xml:space="preserve">Note on peer commentary screening: </w:t>
      </w:r>
      <w:r>
        <w:rPr>
          <w:rFonts w:ascii="Calibri" w:hAnsi="Calibri"/>
          <w:color w:val="525866"/>
          <w:sz w:val="22"/>
        </w:rPr>
        <w:t>All peer commentary included above was issued between May 29, 2026 and July 29, 2026 (within the prior 60 days) and discusses Q2 2026 operating conditions, current-quarter results, or forward guidance. No historical-quarter-only commentary (e.g., a peer discussing its own Q1 2025 results on a Q1 2025 call) has been included. The EXR Q2 2026 earnings release (July 28, 2026) is the most directly relevant read-through as it covers the same reporting quarter (Q2 2026) and was released one day before PSA's earnings call.</w:t>
      </w:r>
    </w:p>
    <w:p>
      <w:pPr>
        <w:pStyle w:val="Heading2"/>
      </w:pPr>
      <w:r>
        <w:rPr>
          <w:rFonts w:ascii="Calibri" w:hAnsi="Calibri"/>
          <w:b/>
          <w:color w:val="3B4259"/>
          <w:sz w:val="28"/>
        </w:rPr>
        <w:t>Key Questions for the Q2 2026 Earnings Call</w:t>
      </w:r>
    </w:p>
    <w:p>
      <w:pPr>
        <w:pStyle w:val="ListNumber"/>
        <w:ind w:left="360" w:hanging="360"/>
      </w:pPr>
      <w:r>
        <w:rPr>
          <w:rFonts w:ascii="Calibri" w:hAnsi="Calibri"/>
          <w:b/>
          <w:color w:val="525866"/>
          <w:sz w:val="22"/>
        </w:rPr>
        <w:t>Will management raise full-year 2026 Core FFO guidance?</w:t>
      </w:r>
      <w:r>
        <w:rPr>
          <w:rFonts w:ascii="Calibri" w:hAnsi="Calibri"/>
          <w:color w:val="525866"/>
          <w:sz w:val="22"/>
        </w:rPr>
        <w:t xml:space="preserve"> Given the Q1 beat, positive April trends, and EXR's guidance raise, the market is expecting a raise. The magnitude and whether it incorporates NSA contribution will be the key debate.</w:t>
      </w:r>
    </w:p>
    <w:p>
      <w:pPr>
        <w:pStyle w:val="ListNumber"/>
        <w:ind w:left="360" w:hanging="360"/>
      </w:pPr>
      <w:r>
        <w:rPr>
          <w:rFonts w:ascii="Calibri" w:hAnsi="Calibri"/>
          <w:b/>
          <w:color w:val="525866"/>
          <w:sz w:val="22"/>
        </w:rPr>
        <w:t>What is the updated NSA accretion and synergy timeline?</w:t>
      </w:r>
      <w:r>
        <w:rPr>
          <w:rFonts w:ascii="Calibri" w:hAnsi="Calibri"/>
          <w:color w:val="525866"/>
          <w:sz w:val="22"/>
        </w:rPr>
        <w:t xml:space="preserve"> The acquisition closed July 22 — management needs to provide updated guidance incorporating NSA's contribution for the remainder of 2026 and a clearer synergy realization schedule.</w:t>
      </w:r>
    </w:p>
    <w:p>
      <w:pPr>
        <w:pStyle w:val="ListNumber"/>
        <w:ind w:left="360" w:hanging="360"/>
      </w:pPr>
      <w:r>
        <w:rPr>
          <w:rFonts w:ascii="Calibri" w:hAnsi="Calibri"/>
          <w:b/>
          <w:color w:val="525866"/>
          <w:sz w:val="22"/>
        </w:rPr>
        <w:t>How did the busy season (May–July) perform?</w:t>
      </w:r>
      <w:r>
        <w:rPr>
          <w:rFonts w:ascii="Calibri" w:hAnsi="Calibri"/>
          <w:color w:val="525866"/>
          <w:sz w:val="22"/>
        </w:rPr>
        <w:t xml:space="preserve"> Move-in rates, occupancy, and churn trends through the peak season are the most important operational data points. April was positive; did the momentum hold?</w:t>
      </w:r>
    </w:p>
    <w:p>
      <w:pPr>
        <w:pStyle w:val="ListNumber"/>
        <w:ind w:left="360" w:hanging="360"/>
      </w:pPr>
      <w:r>
        <w:rPr>
          <w:rFonts w:ascii="Calibri" w:hAnsi="Calibri"/>
          <w:b/>
          <w:color w:val="525866"/>
          <w:sz w:val="22"/>
        </w:rPr>
        <w:t>What is the status of the LA state of emergency?</w:t>
      </w:r>
      <w:r>
        <w:rPr>
          <w:rFonts w:ascii="Calibri" w:hAnsi="Calibri"/>
          <w:color w:val="525866"/>
          <w:sz w:val="22"/>
        </w:rPr>
        <w:t xml:space="preserve"> Any update on the timeline for lifting the pricing cap would be a significant positive catalyst. Management has guided for it to remain all year.</w:t>
      </w:r>
    </w:p>
    <w:p>
      <w:pPr>
        <w:pStyle w:val="ListNumber"/>
        <w:ind w:left="360" w:hanging="360"/>
      </w:pPr>
      <w:r>
        <w:rPr>
          <w:rFonts w:ascii="Calibri" w:hAnsi="Calibri"/>
          <w:b/>
          <w:color w:val="525866"/>
          <w:sz w:val="22"/>
        </w:rPr>
        <w:t>COO replacement timeline?</w:t>
      </w:r>
      <w:r>
        <w:rPr>
          <w:rFonts w:ascii="Calibri" w:hAnsi="Calibri"/>
          <w:color w:val="525866"/>
          <w:sz w:val="22"/>
        </w:rPr>
        <w:t xml:space="preserve"> With Chris Sambar departing at end of July, investors will want to know the succession plan, especially given the NSA integration workload.</w:t>
      </w:r>
    </w:p>
    <w:p>
      <w:pPr>
        <w:pStyle w:val="ListNumber"/>
        <w:ind w:left="360" w:hanging="360"/>
      </w:pPr>
      <w:r>
        <w:rPr>
          <w:rFonts w:ascii="Calibri" w:hAnsi="Calibri"/>
          <w:b/>
          <w:color w:val="525866"/>
          <w:sz w:val="22"/>
        </w:rPr>
        <w:t>PS Canada transaction update?</w:t>
      </w:r>
      <w:r>
        <w:rPr>
          <w:rFonts w:ascii="Calibri" w:hAnsi="Calibri"/>
          <w:color w:val="525866"/>
          <w:sz w:val="22"/>
        </w:rPr>
        <w:t xml:space="preserve"> Expected to close H2 2026 — any update on timing, regulatory approvals, and integration planning.</w:t>
      </w:r>
    </w:p>
    <w:p>
      <w:pPr>
        <w:pStyle w:val="ListNumber"/>
        <w:ind w:left="360" w:hanging="360"/>
      </w:pPr>
      <w:r>
        <w:rPr>
          <w:rFonts w:ascii="Calibri" w:hAnsi="Calibri"/>
          <w:b/>
          <w:color w:val="525866"/>
          <w:sz w:val="22"/>
        </w:rPr>
        <w:t>Non-same-store NOI guidance update?</w:t>
      </w:r>
      <w:r>
        <w:rPr>
          <w:rFonts w:ascii="Calibri" w:hAnsi="Calibri"/>
          <w:color w:val="525866"/>
          <w:sz w:val="22"/>
        </w:rPr>
        <w:t xml:space="preserve"> The original $335–$355M guidance was pre-NSA. The updated figure will be a key input for 2026 and 2027 earnings models.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