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tc-earnings-predictions--2026-07-29"/>
    <w:p>
      <w:pPr>
        <w:pStyle w:val="Heading1"/>
      </w:pPr>
      <w:r>
        <w:t xml:space="preserve">PTC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ARR (constant-currency, ex-divested)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52</m:t>
              </m:r>
              <m:r>
                <m:t>M</m:t>
              </m:r>
              <m:r>
                <m:t>n</m:t>
              </m:r>
              <m:r>
                <m:t>e</m:t>
              </m:r>
              <m:r>
                <m:t>t</m:t>
              </m:r>
              <m:r>
                <m:t>n</m:t>
              </m:r>
              <m:r>
                <m:t>e</m:t>
              </m:r>
              <m:r>
                <m:t>w</m:t>
              </m:r>
              <m:r>
                <m:t>A</m:t>
              </m:r>
              <m:r>
                <m:t>R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A</m:t>
              </m:r>
              <m:r>
                <m:t>R</m:t>
              </m:r>
              <m:r>
                <m:t>R</m:t>
              </m:r>
              <m:r>
                <m:t> </m:t>
              </m:r>
            </m:oMath>
            <w:r>
              <w:t xml:space="preserve">2.44B, +8.9% cc) vs. cons ~$48M (+8.5%)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 (Q3'26)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252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243M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constant-currency net new ARR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195</m:t>
              </m:r>
              <m:r>
                <m:t>M</m:t>
              </m:r>
              <m:r>
                <m:t>n</m:t>
              </m:r>
              <m:r>
                <m:t>e</m:t>
              </m:r>
              <m:r>
                <m:t>t</m:t>
              </m:r>
              <m:r>
                <m:t>n</m:t>
              </m:r>
              <m:r>
                <m:t>e</m:t>
              </m:r>
              <m:r>
                <m:t>w</m:t>
              </m:r>
              <m:r>
                <m:rPr>
                  <m:sty m:val="p"/>
                </m:rPr>
                <m:t>/</m:t>
              </m:r>
              <m:r>
                <m:t>7.5</m:t>
              </m:r>
              <m:r>
                <m:rPr>
                  <m:sty m:val="p"/>
                </m:rPr>
                <m:t>−</m:t>
              </m:r>
              <m:r>
                <m:t>9.5</m:t>
              </m:r>
            </m:oMath>
            <w:r>
              <w:t xml:space="preserve">195M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850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950M clean baseline) vs. cons ~$850M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Q4'26 net new ARR step-up / deferred-ARR confidence (implied)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implies ~</w:t>
            </w:r>
            <m:oMath>
              <m:r>
                <m:t>75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Q</m:t>
              </m:r>
              <m:r>
                <m:t>4</m:t>
              </m:r>
              <m:r>
                <m:t>n</m:t>
              </m:r>
              <m:r>
                <m:t>e</m:t>
              </m:r>
              <m:r>
                <m:t>t</m:t>
              </m:r>
              <m:r>
                <m:t>n</m:t>
              </m:r>
              <m:r>
                <m:t>e</m:t>
              </m:r>
              <m:r>
                <m:t>w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72M (Q4'26); mgmt reiterates de-risked, deferred-ARR-backed hockey stick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Washed-out sentiment (-25% YTD, June/July air-pockets) and a low bar set up an outsized relief pop if Q3 net new ARR grows YoY (de-risked) and FCF/EPS beat, mirroring the +8% Q2 reaction. But this is a credibility check, not the acceleration quarter: the FY26 ARR guide is likely reaffirmed rather than raised, so the out-period (Q4) still carries the big step-up and forward ARR/EPS estimates don't move materially higher. That caps follow-through — the initial gain holds/stabilizes rather than compounds, with aggressive ~$250M/qtr buybacks cushioning downside; a fade risk remains if any wobble in Q4 confidence or the 'flat ex-deferred' underlying reignites skepticism.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2026-07-29T02:50:45Z</dcterms:created>
  <dcterms:modified xsi:type="dcterms:W3CDTF">2026-07-29T02:50:45Z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