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PTC before writing the preview. Let me gather recent earnings, guidance, and news in parallel.Notable: a sharp drop around June 11 (~</w:t>
      </w:r>
      <m:oMath>
        <m:r>
          <m:t>135</m:t>
        </m:r>
        <m:r>
          <m:rPr>
            <m:sty m:val="p"/>
          </m:rPr>
          <m:t>→</m:t>
        </m:r>
      </m:oMath>
      <w:r>
        <w:t xml:space="preserve">118). Let me read the Q2 report/call and investigate the June move.Let me read the Q2 earnings call for management color, and investigate the mid-June selloff.Let me investigate the sharp mid-June drop and get consensus expectations via web search.I have what I need. A quick note: PTC shows a sharp ~12% single-day drop on June 11 (</w:t>
      </w:r>
      <m:oMath>
        <m:r>
          <m:t>135</m:t>
        </m:r>
        <m:r>
          <m:rPr>
            <m:sty m:val="p"/>
          </m:rPr>
          <m:t>→</m:t>
        </m:r>
      </m:oMath>
      <w:r>
        <w:t xml:space="preserve">118) with a low of ~</w:t>
      </w:r>
      <m:oMath>
        <m:r>
          <m:t>113</m:t>
        </m:r>
        <m:r>
          <m:t>i</m:t>
        </m:r>
        <m:r>
          <m:t>n</m:t>
        </m:r>
        <m:r>
          <m:t>m</m:t>
        </m:r>
        <m:r>
          <m:t>i</m:t>
        </m:r>
        <m:r>
          <m:t>d</m:t>
        </m:r>
        <m:r>
          <m:rPr>
            <m:sty m:val="p"/>
          </m:rPr>
          <m:t>−</m:t>
        </m:r>
        <m:r>
          <m:t>J</m:t>
        </m:r>
        <m:r>
          <m:t>u</m:t>
        </m:r>
        <m:r>
          <m:t>n</m:t>
        </m:r>
        <m:r>
          <m:t>e</m:t>
        </m:r>
        <m:r>
          <m:rPr>
            <m:sty m:val="p"/>
          </m:rPr>
          <m:t>,</m:t>
        </m:r>
        <m:r>
          <m:t>t</m:t>
        </m:r>
        <m:r>
          <m:t>h</m:t>
        </m:r>
        <m:r>
          <m:t>e</m:t>
        </m:r>
        <m:r>
          <m:t>n</m:t>
        </m:r>
        <m:r>
          <m:t>a</m:t>
        </m:r>
        <m:r>
          <m:t>p</m:t>
        </m:r>
        <m:r>
          <m:t>a</m:t>
        </m:r>
        <m:r>
          <m:t>r</m:t>
        </m:r>
        <m:r>
          <m:t>t</m:t>
        </m:r>
        <m:r>
          <m:t>i</m:t>
        </m:r>
        <m:r>
          <m:t>a</m:t>
        </m:r>
        <m:r>
          <m:t>l</m:t>
        </m:r>
        <m:r>
          <m:t>r</m:t>
        </m:r>
        <m:r>
          <m:t>e</m:t>
        </m:r>
        <m:r>
          <m:t>c</m:t>
        </m:r>
        <m:r>
          <m:t>o</m:t>
        </m:r>
        <m:r>
          <m:t>v</m:t>
        </m:r>
        <m:r>
          <m:t>e</m:t>
        </m:r>
        <m:r>
          <m:t>r</m:t>
        </m:r>
        <m:r>
          <m:t>y</m:t>
        </m:r>
        <m:r>
          <m:t>t</m:t>
        </m:r>
        <m:r>
          <m:t>o</m:t>
        </m:r>
        <m:r>
          <m:t> </m:t>
        </m:r>
      </m:oMath>
      <w:r>
        <w:t xml:space="preserve">127.5. My document/news searches didn't surface a company-specific catalyst for that move (no PTC-specific news or 8-K in that window), so I'll treat it as a drawdown without over-attributing cause. Here's the preview.</w:t>
      </w:r>
    </w:p>
    <w:p>
      <w:r>
        <w:pict>
          <v:rect style="width:0;height:1.5pt" o:hralign="center" o:hrstd="t" o:hr="t"/>
        </w:pict>
      </w:r>
    </w:p>
    <w:bookmarkStart w:id="16" w:name="Xdb94f315ad8338e843a54e94db14193579d28bc"/>
    <w:p>
      <w:pPr>
        <w:pStyle w:val="Heading1"/>
      </w:pPr>
      <w:r>
        <w:t xml:space="preserve">PTC (NASDAQ: PTC) — Fiscal Q3 2026 Earnings Preview</w:t>
      </w:r>
    </w:p>
    <w:bookmarkStart w:id="9" w:name="X495ed7e473cccab3c61fae3e27fe89c804ba023"/>
    <w:p>
      <w:pPr>
        <w:pStyle w:val="Heading3"/>
      </w:pPr>
      <w:r>
        <w:t xml:space="preserve">Reports after close Wednesday, July 29, 2026 (quarter ended June 30, 2026) · Call 5:00pm ET</w:t>
      </w:r>
    </w:p>
    <w:bookmarkEnd w:id="9"/>
    <w:bookmarkStart w:id="10" w:name="the-one-line-setup"/>
    <w:p>
      <w:pPr>
        <w:pStyle w:val="Heading2"/>
      </w:pPr>
      <w:r>
        <w:t xml:space="preserve">The one-line setup</w:t>
      </w:r>
    </w:p>
    <w:p>
      <w:pPr>
        <w:pStyle w:val="FirstParagraph"/>
      </w:pPr>
      <w:r>
        <w:t xml:space="preserve">This is the print where PTC's "second-half inflection" story either starts to show up in the actual numbers or gets called into question. Management has spent the last several quarters telling investors that a go-to-market overhaul plus a bank of "deferred ARR" would drive net new ARR</w:t>
      </w:r>
      <w:r>
        <w:t xml:space="preserve"> </w:t>
      </w:r>
      <w:r>
        <w:rPr>
          <w:i/>
          <w:iCs/>
        </w:rPr>
        <w:t xml:space="preserve">growth in Q3</w:t>
      </w:r>
      <w:r>
        <w:t xml:space="preserve"> </w:t>
      </w:r>
      <w:r>
        <w:t xml:space="preserve">and a</w:t>
      </w:r>
      <w:r>
        <w:t xml:space="preserve"> </w:t>
      </w:r>
      <w:r>
        <w:rPr>
          <w:i/>
          <w:iCs/>
        </w:rPr>
        <w:t xml:space="preserve">larger step-up in Q4</w:t>
      </w:r>
      <w:r>
        <w:t xml:space="preserve">. Q3 is the first proof point — and it comes with the stock beaten down ~25% YTD and still recovering from a mid-June air pocket.</w:t>
      </w:r>
    </w:p>
    <w:p>
      <w:r>
        <w:pict>
          <v:rect style="width:0;height:1.5pt" o:hralign="center" o:hrstd="t" o:hr="t"/>
        </w:pict>
      </w:r>
    </w:p>
    <w:bookmarkEnd w:id="10"/>
    <w:bookmarkStart w:id="11" w:name="what-the-stock-is-telling-you"/>
    <w:p>
      <w:pPr>
        <w:pStyle w:val="Heading2"/>
      </w:pPr>
      <w:r>
        <w:t xml:space="preserve">What the stock is telling you</w:t>
      </w:r>
    </w:p>
    <w:p>
      <w:pPr>
        <w:pStyle w:val="Compact"/>
        <w:numPr>
          <w:ilvl w:val="0"/>
          <w:numId w:val="1001"/>
        </w:numPr>
      </w:pPr>
      <w:r>
        <w:t xml:space="preserve">PTC entered the year around</w:t>
      </w:r>
      <w:r>
        <w:t xml:space="preserve"> </w:t>
      </w:r>
      <m:oMath>
        <m:r>
          <m:t>170</m:t>
        </m:r>
        <m:r>
          <m:rPr>
            <m:sty m:val="p"/>
          </m:rPr>
          <m:t>*</m:t>
        </m:r>
        <m:r>
          <m:rPr>
            <m:sty m:val="p"/>
          </m:rPr>
          <m:t>*</m:t>
        </m:r>
        <m:r>
          <m:t>a</m:t>
        </m:r>
        <m:r>
          <m:t>n</m:t>
        </m:r>
        <m:r>
          <m:t>d</m:t>
        </m:r>
        <m:r>
          <m:t>s</m:t>
        </m:r>
        <m:r>
          <m:t>i</m:t>
        </m:r>
        <m:r>
          <m:t>t</m:t>
        </m:r>
        <m:r>
          <m:t>s</m:t>
        </m:r>
        <m:r>
          <m:t>n</m:t>
        </m:r>
        <m:r>
          <m:t>e</m:t>
        </m:r>
        <m:r>
          <m:t>a</m:t>
        </m:r>
        <m:r>
          <m:t>r</m:t>
        </m:r>
        <m:r>
          <m:rPr>
            <m:sty m:val="p"/>
          </m:rPr>
          <m:t>*</m:t>
        </m:r>
        <m:r>
          <m:rPr>
            <m:sty m:val="p"/>
          </m:rPr>
          <m:t>*</m:t>
        </m:r>
      </m:oMath>
      <w:r>
        <w:rPr>
          <w:b/>
          <w:bCs/>
        </w:rPr>
        <w:t xml:space="preserve">127.5</w:t>
      </w:r>
      <w:r>
        <w:t xml:space="preserve"> </w:t>
      </w:r>
      <w:r>
        <w:t xml:space="preserve">as of 7/28 — roughly</w:t>
      </w:r>
      <w:r>
        <w:t xml:space="preserve"> </w:t>
      </w:r>
      <w:r>
        <w:rPr>
          <w:b/>
          <w:bCs/>
        </w:rPr>
        <w:t xml:space="preserve">-25% YTD</w:t>
      </w:r>
      <w:r>
        <w:t xml:space="preserve">, meaningfully underperforming the software tape.</w:t>
      </w:r>
    </w:p>
    <w:p>
      <w:pPr>
        <w:pStyle w:val="Compact"/>
        <w:numPr>
          <w:ilvl w:val="0"/>
          <w:numId w:val="1001"/>
        </w:numPr>
      </w:pPr>
      <w:r>
        <w:t xml:space="preserve">The chart has one violent leg down:</w:t>
      </w:r>
      <w:r>
        <w:t xml:space="preserve"> </w:t>
      </w:r>
      <w:r>
        <w:rPr>
          <w:b/>
          <w:bCs/>
        </w:rPr>
        <w:t xml:space="preserve">~$135 →</w:t>
      </w:r>
      <w:r>
        <w:rPr>
          <w:b/>
          <w:bCs/>
        </w:rPr>
        <w:t xml:space="preserve"> </w:t>
      </w:r>
      <m:oMath>
        <m:r>
          <m:t>118</m:t>
        </m:r>
        <m:r>
          <m:t>o</m:t>
        </m:r>
        <m:r>
          <m:t>n</m:t>
        </m:r>
        <m:r>
          <m:t>J</m:t>
        </m:r>
        <m:r>
          <m:t>u</m:t>
        </m:r>
        <m:r>
          <m:t>n</m:t>
        </m:r>
        <m:r>
          <m:t>e</m:t>
        </m:r>
        <m:r>
          <m:t>11</m:t>
        </m:r>
        <m:r>
          <m:rPr>
            <m:sty m:val="p"/>
          </m:rPr>
          <m:t>*</m:t>
        </m:r>
        <m:r>
          <m:rPr>
            <m:sty m:val="p"/>
          </m:rPr>
          <m:t>*</m:t>
        </m:r>
        <m:r>
          <m:rPr>
            <m:sty m:val="p"/>
          </m:rPr>
          <m:t>,</m:t>
        </m:r>
        <m:r>
          <m:t>b</m:t>
        </m:r>
        <m:r>
          <m:t>o</m:t>
        </m:r>
        <m:r>
          <m:t>t</m:t>
        </m:r>
        <m:r>
          <m:t>t</m:t>
        </m:r>
        <m:r>
          <m:t>o</m:t>
        </m:r>
        <m:r>
          <m:t>m</m:t>
        </m:r>
        <m:r>
          <m:t>i</m:t>
        </m:r>
        <m:r>
          <m:t>n</m:t>
        </m:r>
        <m:r>
          <m:t>g</m:t>
        </m:r>
        <m:r>
          <m:t>n</m:t>
        </m:r>
        <m:r>
          <m:t>e</m:t>
        </m:r>
        <m:r>
          <m:t>a</m:t>
        </m:r>
        <m:r>
          <m:t>r</m:t>
        </m:r>
        <m:r>
          <m:rPr>
            <m:sty m:val="p"/>
          </m:rPr>
          <m:t>*</m:t>
        </m:r>
        <m:r>
          <m:rPr>
            <m:sty m:val="p"/>
          </m:rPr>
          <m:t>*</m:t>
        </m:r>
      </m:oMath>
      <w:r>
        <w:rPr>
          <w:b/>
          <w:bCs/>
        </w:rPr>
        <w:t xml:space="preserve">113–114</w:t>
      </w:r>
      <w:r>
        <w:t xml:space="preserve"> </w:t>
      </w:r>
      <w:r>
        <w:t xml:space="preserve">in mid-June, before a grind back to the high $120s.</w:t>
      </w:r>
    </w:p>
    <w:p>
      <w:pPr>
        <w:pStyle w:val="Compact"/>
        <w:numPr>
          <w:ilvl w:val="0"/>
          <w:numId w:val="1001"/>
        </w:numPr>
      </w:pPr>
      <w:r>
        <w:t xml:space="preserve">Translation: expectations have been reset lower and sentiment is cautious. That cuts both ways — a clean "Q3 net new ARR grew YoY + confident Q4 step-up" narrative could get an outsized positive reaction, while any wobble in the ARR ramp or 2H confidence gets punished into a jumpy tape.</w:t>
      </w:r>
    </w:p>
    <w:p>
      <w:r>
        <w:pict>
          <v:rect style="width:0;height:1.5pt" o:hralign="center" o:hrstd="t" o:hr="t"/>
        </w:pict>
      </w:r>
    </w:p>
    <w:bookmarkEnd w:id="11"/>
    <w:bookmarkStart w:id="12" w:name="X32854605cea9973d44404900a17a661714fc644"/>
    <w:p>
      <w:pPr>
        <w:pStyle w:val="Heading2"/>
      </w:pPr>
      <w:r>
        <w:t xml:space="preserve">The numbers that matter (Q3'26 guidance PTC gave on the Q2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Q3'26 Guide</w:t>
            </w:r>
          </w:p>
        </w:tc>
        <w:tc>
          <w:tcPr/>
          <w:p>
            <w:pPr>
              <w:pStyle w:val="Compact"/>
            </w:pPr>
            <w:r>
              <w:t xml:space="preserve">Comment</w:t>
            </w:r>
          </w:p>
        </w:tc>
      </w:tr>
      <w:tr>
        <w:tc>
          <w:tcPr/>
          <w:p>
            <w:pPr>
              <w:pStyle w:val="Compact"/>
            </w:pPr>
            <w:r>
              <w:rPr>
                <w:b/>
                <w:bCs/>
              </w:rPr>
              <w:t xml:space="preserve">Constant-currency ARR (ex-divested)</w:t>
            </w:r>
          </w:p>
        </w:tc>
        <w:tc>
          <w:tcPr/>
          <w:p>
            <w:pPr>
              <w:pStyle w:val="Compact"/>
            </w:pPr>
            <w:r>
              <w:rPr>
                <w:b/>
                <w:bCs/>
              </w:rPr>
              <w:t xml:space="preserve">+8% to +9%</w:t>
            </w:r>
            <w:r>
              <w:t xml:space="preserve"> </w:t>
            </w:r>
            <w:r>
              <w:t xml:space="preserve">YoY</w:t>
            </w:r>
          </w:p>
        </w:tc>
        <w:tc>
          <w:tcPr/>
          <w:p>
            <w:pPr>
              <w:pStyle w:val="Compact"/>
            </w:pPr>
            <w:r>
              <w:t xml:space="preserve">=</w:t>
            </w:r>
            <w:r>
              <w:t xml:space="preserve"> </w:t>
            </w:r>
            <m:oMath>
              <m:r>
                <m:t>40</m:t>
              </m:r>
              <m:r>
                <m:t>M</m:t>
              </m:r>
              <m:r>
                <m:rPr>
                  <m:sty m:val="p"/>
                </m:rPr>
                <m:t>–</m:t>
              </m:r>
            </m:oMath>
            <w:r>
              <w:rPr>
                <w:b/>
                <w:bCs/>
              </w:rPr>
              <w:t xml:space="preserve">55M net new ARR</w:t>
            </w:r>
            <w:r>
              <w:t xml:space="preserve">; this is THE number</w:t>
            </w:r>
          </w:p>
        </w:tc>
      </w:tr>
      <w:tr>
        <w:tc>
          <w:tcPr/>
          <w:p>
            <w:pPr>
              <w:pStyle w:val="Compact"/>
            </w:pPr>
            <w:r>
              <w:t xml:space="preserve">Free cash flow</w:t>
            </w:r>
          </w:p>
        </w:tc>
        <w:tc>
          <w:tcPr/>
          <w:p>
            <w:pPr>
              <w:pStyle w:val="Compact"/>
            </w:pPr>
            <m:oMath>
              <m:r>
                <m:t>240</m:t>
              </m:r>
              <m:r>
                <m:t>M</m:t>
              </m:r>
              <m:r>
                <m:rPr>
                  <m:sty m:val="p"/>
                </m:rPr>
                <m:t>–</m:t>
              </m:r>
            </m:oMath>
            <w:r>
              <w:rPr>
                <w:b/>
                <w:bCs/>
              </w:rPr>
              <w:t xml:space="preserve">245M</w:t>
            </w:r>
          </w:p>
        </w:tc>
        <w:tc>
          <w:tcPr/>
          <w:p>
            <w:pPr>
              <w:pStyle w:val="Compact"/>
            </w:pPr>
            <w:r>
              <w:t xml:space="preserve">includes ~$10M non-recurring capex + small divestiture items</w:t>
            </w:r>
          </w:p>
        </w:tc>
      </w:tr>
      <w:tr>
        <w:tc>
          <w:tcPr/>
          <w:p>
            <w:pPr>
              <w:pStyle w:val="Compact"/>
            </w:pPr>
            <w:r>
              <w:t xml:space="preserve">Revenue</w:t>
            </w:r>
          </w:p>
        </w:tc>
        <w:tc>
          <w:tcPr/>
          <w:p>
            <w:pPr>
              <w:pStyle w:val="Compact"/>
            </w:pPr>
            <m:oMath>
              <m:r>
                <m:t>580</m:t>
              </m:r>
              <m:r>
                <m:t>M</m:t>
              </m:r>
              <m:r>
                <m:rPr>
                  <m:sty m:val="p"/>
                </m:rPr>
                <m:t>–</m:t>
              </m:r>
            </m:oMath>
            <w:r>
              <w:rPr>
                <w:b/>
                <w:bCs/>
              </w:rPr>
              <w:t xml:space="preserve">640M</w:t>
            </w:r>
          </w:p>
        </w:tc>
        <w:tc>
          <w:tcPr/>
          <w:p>
            <w:pPr>
              <w:pStyle w:val="Compact"/>
            </w:pPr>
            <w:r>
              <w:t xml:space="preserve">wide range; ASC 606 makes this lumpy/less meaningful</w:t>
            </w:r>
          </w:p>
        </w:tc>
      </w:tr>
      <w:tr>
        <w:tc>
          <w:tcPr/>
          <w:p>
            <w:pPr>
              <w:pStyle w:val="Compact"/>
            </w:pPr>
            <w:r>
              <w:t xml:space="preserve">GAAP EPS</w:t>
            </w:r>
          </w:p>
        </w:tc>
        <w:tc>
          <w:tcPr/>
          <w:p>
            <w:pPr>
              <w:pStyle w:val="Compact"/>
            </w:pPr>
            <m:oMath>
              <m:r>
                <m:t>0.68</m:t>
              </m:r>
              <m:r>
                <m:rPr>
                  <m:sty m:val="p"/>
                </m:rPr>
                <m:t>–</m:t>
              </m:r>
            </m:oMath>
            <w:r>
              <w:rPr>
                <w:b/>
                <w:bCs/>
              </w:rPr>
              <w:t xml:space="preserve">1.25</w:t>
            </w:r>
          </w:p>
        </w:tc>
        <w:tc>
          <w:tcPr/>
          <w:p>
            <w:pPr>
              <w:pStyle w:val="Compact"/>
            </w:pPr>
          </w:p>
        </w:tc>
      </w:tr>
      <w:tr>
        <w:tc>
          <w:tcPr/>
          <w:p>
            <w:pPr>
              <w:pStyle w:val="Compact"/>
            </w:pPr>
            <w:r>
              <w:t xml:space="preserve">Non-GAAP EPS</w:t>
            </w:r>
          </w:p>
        </w:tc>
        <w:tc>
          <w:tcPr/>
          <w:p>
            <w:pPr>
              <w:pStyle w:val="Compact"/>
            </w:pPr>
            <m:oMath>
              <m:r>
                <m:t>1.24</m:t>
              </m:r>
              <m:r>
                <m:rPr>
                  <m:sty m:val="p"/>
                </m:rPr>
                <m:t>–</m:t>
              </m:r>
            </m:oMath>
            <w:r>
              <w:rPr>
                <w:b/>
                <w:bCs/>
              </w:rPr>
              <w:t xml:space="preserve">1.78</w:t>
            </w:r>
          </w:p>
        </w:tc>
        <w:tc>
          <w:tcPr/>
          <w:p>
            <w:pPr>
              <w:pStyle w:val="Compact"/>
            </w:pPr>
          </w:p>
        </w:tc>
      </w:tr>
      <w:tr>
        <w:tc>
          <w:tcPr/>
          <w:p>
            <w:pPr>
              <w:pStyle w:val="Compact"/>
            </w:pPr>
            <w:r>
              <w:t xml:space="preserve">Share count</w:t>
            </w:r>
          </w:p>
        </w:tc>
        <w:tc>
          <w:tcPr/>
          <w:p>
            <w:pPr>
              <w:pStyle w:val="Compact"/>
            </w:pPr>
            <w:r>
              <w:rPr>
                <w:b/>
                <w:bCs/>
              </w:rPr>
              <w:t xml:space="preserve">~115–116M</w:t>
            </w:r>
            <w:r>
              <w:t xml:space="preserve"> </w:t>
            </w:r>
            <w:r>
              <w:t xml:space="preserve">diluted</w:t>
            </w:r>
          </w:p>
        </w:tc>
        <w:tc>
          <w:tcPr/>
          <w:p>
            <w:pPr>
              <w:pStyle w:val="Compact"/>
            </w:pPr>
            <w:r>
              <w:t xml:space="preserve">down from 120M in Q3'25 on buybacks</w:t>
            </w:r>
          </w:p>
        </w:tc>
      </w:tr>
    </w:tbl>
    <w:p>
      <w:pPr>
        <w:pStyle w:val="BodyText"/>
      </w:pPr>
      <w:r>
        <w:rPr>
          <w:b/>
          <w:bCs/>
        </w:rPr>
        <w:t xml:space="preserve">Full-year FY26 framing to keep in mind:</w:t>
      </w:r>
      <w:r>
        <w:t xml:space="preserve"> </w:t>
      </w:r>
      <w:r>
        <w:t xml:space="preserve">CC ARR growth</w:t>
      </w:r>
      <w:r>
        <w:t xml:space="preserve"> </w:t>
      </w:r>
      <w:r>
        <w:rPr>
          <w:b/>
          <w:bCs/>
        </w:rPr>
        <w:t xml:space="preserve">7.5%–9.5%</w:t>
      </w:r>
      <w:r>
        <w:t xml:space="preserve"> </w:t>
      </w:r>
      <w:r>
        <w:t xml:space="preserve">(~</w:t>
      </w:r>
      <m:oMath>
        <m:r>
          <m:t>195</m:t>
        </m:r>
        <m:r>
          <m:t>M</m:t>
        </m:r>
        <m:r>
          <m:t>n</m:t>
        </m:r>
        <m:r>
          <m:t>e</m:t>
        </m:r>
        <m:r>
          <m:t>t</m:t>
        </m:r>
        <m:r>
          <m:t>n</m:t>
        </m:r>
        <m:r>
          <m:t>e</m:t>
        </m:r>
        <m:r>
          <m:t>w</m:t>
        </m:r>
        <m:r>
          <m:t>A</m:t>
        </m:r>
        <m:r>
          <m:t>R</m:t>
        </m:r>
        <m:r>
          <m:t>R</m:t>
        </m:r>
        <m:r>
          <m:t>a</m:t>
        </m:r>
        <m:r>
          <m:t>t</m:t>
        </m:r>
        <m:r>
          <m:t>m</m:t>
        </m:r>
        <m:r>
          <m:t>i</m:t>
        </m:r>
        <m:r>
          <m:t>d</m:t>
        </m:r>
        <m:r>
          <m:t>p</m:t>
        </m:r>
        <m:r>
          <m:t>o</m:t>
        </m:r>
        <m:r>
          <m:t>i</m:t>
        </m:r>
        <m:r>
          <m:t>n</m:t>
        </m:r>
        <m:r>
          <m:t>t</m:t>
        </m:r>
        <m:r>
          <m:rPr>
            <m:sty m:val="p"/>
          </m:rPr>
          <m:t>)</m:t>
        </m:r>
        <m:r>
          <m:rPr>
            <m:sty m:val="p"/>
          </m:rPr>
          <m:t>,</m:t>
        </m:r>
        <m:r>
          <m:t>F</m:t>
        </m:r>
        <m:r>
          <m:t>C</m:t>
        </m:r>
        <m:r>
          <m:t>F</m:t>
        </m:r>
        <m:r>
          <m:rPr>
            <m:sty m:val="p"/>
          </m:rPr>
          <m:t>*</m:t>
        </m:r>
        <m:r>
          <m:rPr>
            <m:sty m:val="p"/>
          </m:rPr>
          <m:t>*</m:t>
        </m:r>
        <m:r>
          <m:t> </m:t>
        </m:r>
      </m:oMath>
      <w:r>
        <w:t xml:space="preserve">850M** (management flags a **~</w:t>
      </w:r>
      <w:r>
        <w:t xml:space="preserve">$950M "clean" baseline** ex ~$</w:t>
      </w:r>
      <w:r>
        <w:t xml:space="preserve">100M of non-recurring divestiture/capex items — the number they want you to grow off of for FY27), revenue</w:t>
      </w:r>
      <w:r>
        <w:t xml:space="preserve"> </w:t>
      </w:r>
      <m:oMath>
        <m:r>
          <m:t>2.58</m:t>
        </m:r>
        <m:r>
          <m:t>B</m:t>
        </m:r>
        <m:r>
          <m:rPr>
            <m:sty m:val="p"/>
          </m:rPr>
          <m:t>–</m:t>
        </m:r>
      </m:oMath>
      <w:r>
        <w:t xml:space="preserve">2.82B, non-GAAP EPS</w:t>
      </w:r>
      <w:r>
        <w:t xml:space="preserve"> </w:t>
      </w:r>
      <m:oMath>
        <m:r>
          <m:t>6.65</m:t>
        </m:r>
        <m:r>
          <m:rPr>
            <m:sty m:val="p"/>
          </m:rPr>
          <m:t>–</m:t>
        </m:r>
      </m:oMath>
      <w:r>
        <w:t xml:space="preserve">8.90, and</w:t>
      </w:r>
      <w:r>
        <w:t xml:space="preserve"> </w:t>
      </w:r>
      <w:r>
        <w:rPr>
          <w:b/>
          <w:bCs/>
        </w:rPr>
        <w:t xml:space="preserve">~</w:t>
      </w:r>
      <m:oMath>
        <m:r>
          <m:t>1.225</m:t>
        </m:r>
        <m:r>
          <m:t>B</m:t>
        </m:r>
        <m:r>
          <m:rPr>
            <m:sty m:val="p"/>
          </m:rPr>
          <m:t>–</m:t>
        </m:r>
      </m:oMath>
      <w:r>
        <w:rPr>
          <w:b/>
          <w:bCs/>
        </w:rPr>
        <w:t xml:space="preserve">1.325B of buybacks</w:t>
      </w:r>
      <w:r>
        <w:t xml:space="preserve">.</w:t>
      </w:r>
    </w:p>
    <w:p>
      <w:r>
        <w:pict>
          <v:rect style="width:0;height:1.5pt" o:hralign="center" o:hrstd="t" o:hr="t"/>
        </w:pict>
      </w:r>
    </w:p>
    <w:bookmarkEnd w:id="12"/>
    <w:bookmarkStart w:id="13" w:name="what-to-focus-on"/>
    <w:p>
      <w:pPr>
        <w:pStyle w:val="Heading2"/>
      </w:pPr>
      <w:r>
        <w:t xml:space="preserve">What to focus on</w:t>
      </w:r>
    </w:p>
    <w:p>
      <w:pPr>
        <w:pStyle w:val="FirstParagraph"/>
      </w:pPr>
      <w:r>
        <w:rPr>
          <w:b/>
          <w:bCs/>
        </w:rPr>
        <w:t xml:space="preserve">1. Net new ARR — did it actually grow YoY?</w:t>
      </w:r>
      <w:r>
        <w:t xml:space="preserve"> </w:t>
      </w:r>
      <w:r>
        <w:t xml:space="preserve">CFO Jen DiRico was explicit: the plan is for net new ARR to grow YoY in Q3 and step up "more significantly" in Q4. She quantified the 2H bar at</w:t>
      </w:r>
      <w:r>
        <w:t xml:space="preserve"> </w:t>
      </w:r>
      <w:r>
        <w:rPr>
          <w:b/>
          <w:bCs/>
        </w:rPr>
        <w:t xml:space="preserve">~</w:t>
      </w:r>
      <m:oMath>
        <m:r>
          <m:t>127</m:t>
        </m:r>
        <m:r>
          <m:t>M</m:t>
        </m:r>
        <m:r>
          <m:t>o</m:t>
        </m:r>
        <m:r>
          <m:t>f</m:t>
        </m:r>
        <m:r>
          <m:t>n</m:t>
        </m:r>
        <m:r>
          <m:t>e</m:t>
        </m:r>
        <m:r>
          <m:t>t</m:t>
        </m:r>
        <m:r>
          <m:t>n</m:t>
        </m:r>
        <m:r>
          <m:t>e</m:t>
        </m:r>
        <m:r>
          <m:t>w</m:t>
        </m:r>
        <m:r>
          <m:t>A</m:t>
        </m:r>
        <m:r>
          <m:t>R</m:t>
        </m:r>
        <m:r>
          <m:t>R</m:t>
        </m:r>
        <m:r>
          <m:rPr>
            <m:sty m:val="p"/>
          </m:rPr>
          <m:t>(</m:t>
        </m:r>
        <m:r>
          <m:t> </m:t>
        </m:r>
      </m:oMath>
      <w:r>
        <w:rPr>
          <w:b/>
          <w:bCs/>
        </w:rPr>
        <w:t xml:space="preserve">7M more than 2H'25)</w:t>
      </w:r>
      <w:r>
        <w:t xml:space="preserve"> </w:t>
      </w:r>
      <w:r>
        <w:t xml:space="preserve">and said the lower end of the range has been "de-risked." Crucially, she also conceded that</w:t>
      </w:r>
      <w:r>
        <w:t xml:space="preserve"> </w:t>
      </w:r>
      <w:r>
        <w:rPr>
          <w:i/>
          <w:iCs/>
        </w:rPr>
        <w:t xml:space="preserve">ex-deferred ARR, underlying net new is roughly flat YoY</w:t>
      </w:r>
      <w:r>
        <w:t xml:space="preserve"> </w:t>
      </w:r>
      <w:r>
        <w:t xml:space="preserve">— so the growth is being engineered by the deferred ARR they've already "banked." Watch whether Q3 lands in/above the $40–55M range and, more importantly, whether management sounds more or less confident about the Q4 hockey stick. Q4 is where the real acceleration is supposed to happen; Q3 is the credibility check.</w:t>
      </w:r>
    </w:p>
    <w:p>
      <w:pPr>
        <w:pStyle w:val="BodyText"/>
      </w:pPr>
      <w:r>
        <w:rPr>
          <w:b/>
          <w:bCs/>
        </w:rPr>
        <w:t xml:space="preserve">2. The deferred-ARR mechanic — real momentum or timing games?</w:t>
      </w:r>
      <w:r>
        <w:t xml:space="preserve"> </w:t>
      </w:r>
      <w:r>
        <w:t xml:space="preserve">The bull case leans heavily on contracts structured to</w:t>
      </w:r>
      <w:r>
        <w:t xml:space="preserve"> </w:t>
      </w:r>
      <w:r>
        <w:rPr>
          <w:i/>
          <w:iCs/>
        </w:rPr>
        <w:t xml:space="preserve">start later</w:t>
      </w:r>
      <w:r>
        <w:t xml:space="preserve"> </w:t>
      </w:r>
      <w:r>
        <w:t xml:space="preserve">(building "deferred ARR for FY27 and beyond"). Bulls read this as durable, visible growth. Skeptics will note it partly shifts ARR around the calendar rather than proving fresh demand. Any color on the size/visibility of the FY27 deferred balance is the single most important forward indicator on this call.</w:t>
      </w:r>
    </w:p>
    <w:p>
      <w:pPr>
        <w:pStyle w:val="BodyText"/>
      </w:pPr>
      <w:r>
        <w:rPr>
          <w:b/>
          <w:bCs/>
        </w:rPr>
        <w:t xml:space="preserve">3. AI: narrative vs. dollars.</w:t>
      </w:r>
      <w:r>
        <w:t xml:space="preserve"> </w:t>
      </w:r>
      <w:r>
        <w:t xml:space="preserve">Management's pitch is that customers must</w:t>
      </w:r>
      <w:r>
        <w:t xml:space="preserve"> </w:t>
      </w:r>
      <w:r>
        <w:rPr>
          <w:b/>
          <w:bCs/>
        </w:rPr>
        <w:t xml:space="preserve">modernize their product-data foundation (Windchill/Creo/Codebeamer/Arena) before AI works</w:t>
      </w:r>
      <w:r>
        <w:t xml:space="preserve">, which is driving modernization demand, plus an "intelligence layer" of agents on top. They cited real early monetization (e.g., a</w:t>
      </w:r>
      <w:r>
        <w:t xml:space="preserve"> </w:t>
      </w:r>
      <w:r>
        <w:rPr>
          <w:b/>
          <w:bCs/>
        </w:rPr>
        <w:t xml:space="preserve">7-figure ServiceMax AI expansion</w:t>
      </w:r>
      <w:r>
        <w:t xml:space="preserve">) but were candid that AI monetization in FY27 will be</w:t>
      </w:r>
      <w:r>
        <w:t xml:space="preserve"> </w:t>
      </w:r>
      <w:r>
        <w:rPr>
          <w:b/>
          <w:bCs/>
        </w:rPr>
        <w:t xml:space="preserve">"not overly material."</w:t>
      </w:r>
      <w:r>
        <w:t xml:space="preserve"> </w:t>
      </w:r>
      <w:r>
        <w:t xml:space="preserve">Listen for: any hard AI ARR/bookings figures, the new AI-native product teased for "PTC Next" in June, and whether AI is converting to bookings or still mostly POCs.</w:t>
      </w:r>
    </w:p>
    <w:p>
      <w:pPr>
        <w:pStyle w:val="BodyText"/>
      </w:pPr>
      <w:r>
        <w:rPr>
          <w:b/>
          <w:bCs/>
        </w:rPr>
        <w:t xml:space="preserve">4. Demand durability by vertical/geo.</w:t>
      </w:r>
      <w:r>
        <w:t xml:space="preserve"> </w:t>
      </w:r>
      <w:r>
        <w:t xml:space="preserve">Strength called out last quarter:</w:t>
      </w:r>
      <w:r>
        <w:t xml:space="preserve"> </w:t>
      </w:r>
      <w:r>
        <w:rPr>
          <w:b/>
          <w:bCs/>
        </w:rPr>
        <w:t xml:space="preserve">electronics/high-tech (data-center build-out), aerospace &amp; defense/federal</w:t>
      </w:r>
      <w:r>
        <w:t xml:space="preserve"> </w:t>
      </w:r>
      <w:r>
        <w:t xml:space="preserve">(U.S. Army standardizing on Windchill), and Onshape/Codebeamer displacement wins (incl. BMW in auto). Watch whether federal spending, European industrial demand, and any tariff/macro softness show up. Management explicitly flagged macro risks — tariffs, FX, and even the Iran conflict/energy prices — as ongoing overhangs.</w:t>
      </w:r>
    </w:p>
    <w:p>
      <w:pPr>
        <w:pStyle w:val="BodyText"/>
      </w:pPr>
      <w:r>
        <w:rPr>
          <w:b/>
          <w:bCs/>
        </w:rPr>
        <w:t xml:space="preserve">5. Capital return &amp; share count.</w:t>
      </w:r>
      <w:r>
        <w:t xml:space="preserve"> </w:t>
      </w:r>
      <w:r>
        <w:t xml:space="preserve">PTC is leaning hard into buybacks with the stock down — ~$250M planned in Q3, plus a</w:t>
      </w:r>
      <w:r>
        <w:t xml:space="preserve"> </w:t>
      </w:r>
      <w:r>
        <w:rPr>
          <w:b/>
          <w:bCs/>
        </w:rPr>
        <w:t xml:space="preserve">new $2B authorization for FY27–FY28</w:t>
      </w:r>
      <w:r>
        <w:t xml:space="preserve">. Confirm the pace and the diluted share count (~115–116M). At depressed prices this is a real EPS/FCF-per-share tailwind, and management framed buybacks as their best current use of capital.</w:t>
      </w:r>
    </w:p>
    <w:p>
      <w:pPr>
        <w:pStyle w:val="BodyText"/>
      </w:pPr>
      <w:r>
        <w:rPr>
          <w:b/>
          <w:bCs/>
        </w:rPr>
        <w:t xml:space="preserve">6. ServiceMax (SLM).</w:t>
      </w:r>
      <w:r>
        <w:t xml:space="preserve"> </w:t>
      </w:r>
      <w:r>
        <w:t xml:space="preserve">This was the portfolio's drag for ~18 months. Management said the big churn digestion is "behind us" and it's normalizing. A return to growth here would remove an overhang; renewed weakness would undercut the "everything's humming" story.</w:t>
      </w:r>
    </w:p>
    <w:p>
      <w:r>
        <w:pict>
          <v:rect style="width:0;height:1.5pt" o:hralign="center" o:hrstd="t" o:hr="t"/>
        </w:pict>
      </w:r>
    </w:p>
    <w:bookmarkEnd w:id="13"/>
    <w:bookmarkStart w:id="14" w:name="bull-vs-bear-into-the-print"/>
    <w:p>
      <w:pPr>
        <w:pStyle w:val="Heading2"/>
      </w:pPr>
      <w:r>
        <w:t xml:space="preserve">Bull vs. bear into the print</w:t>
      </w:r>
    </w:p>
    <w:p>
      <w:pPr>
        <w:pStyle w:val="FirstParagraph"/>
      </w:pPr>
      <w:r>
        <w:rPr>
          <w:b/>
          <w:bCs/>
        </w:rPr>
        <w:t xml:space="preserve">Bull:</w:t>
      </w:r>
      <w:r>
        <w:t xml:space="preserve"> </w:t>
      </w:r>
      <w:r>
        <w:t xml:space="preserve">Go-to-market transformation (new CRO ~16 months in) is inflecting — improving rep productivity, renewal rates, and a larger/higher-quality pipeline; deferred ARR gives unusual visibility into FY27; AI is a genuine modernization catalyst for their systems of record; aggressive buybacks at a depressed multiple. If Q3 net new ARR grows YoY and Q4 confidence holds, the ~$950M FCF baseline sets up a strong FY27 and the stock is cheap on beaten-down sentiment.</w:t>
      </w:r>
    </w:p>
    <w:p>
      <w:pPr>
        <w:pStyle w:val="BodyText"/>
      </w:pPr>
      <w:r>
        <w:rPr>
          <w:b/>
          <w:bCs/>
        </w:rPr>
        <w:t xml:space="preserve">Bear:</w:t>
      </w:r>
      <w:r>
        <w:t xml:space="preserve"> </w:t>
      </w:r>
      <w:r>
        <w:t xml:space="preserve">Reported ARR growth is still only ~8.5% and the near-term acceleration is being carried by deferred/timing rather than a step-change in underlying demand; the "flat ex-deferred" admission is a yellow flag; AI monetization is real but small and years out; macro (tariffs, Europe, geopolitics/energy) is a live risk; and the June drawdown suggests the market is skeptical of the 2H ramp. A guide-dependent, back-half-loaded story with a big Q4 hockey stick is inherently higher-risk.</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Go in watching</w:t>
      </w:r>
      <w:r>
        <w:t xml:space="preserve"> </w:t>
      </w:r>
      <w:r>
        <w:rPr>
          <w:b/>
          <w:bCs/>
        </w:rPr>
        <w:t xml:space="preserve">Q3 net new ARR (did it grow YoY, and where in the $40–55M range), the tone/visibility on the Q4 step-up and FY27 deferred ARR, and any tangible AI monetization.</w:t>
      </w:r>
      <w:r>
        <w:t xml:space="preserve"> </w:t>
      </w:r>
      <w:r>
        <w:t xml:space="preserve">Secondary: FCF vs. the $240–245M guide, ServiceMax stabilization, and buyback pace. With the stock down ~25% YTD and sentiment washed out, the risk/reward is asymmetric around whether management's second-half acceleration thesis is finally showing up in the hard ARR number — this print is the first real test of it.</w:t>
      </w:r>
    </w:p>
    <w:p>
      <w:pPr>
        <w:pStyle w:val="BodyText"/>
      </w:pPr>
      <w:r>
        <w:rPr>
          <w:i/>
          <w:iCs/>
        </w:rPr>
        <w:t xml:space="preserve">(Estimates and stock levels reflect PTC's own Q2'26 guidance and observed prices through 7/28/2026; I was unable to source sell-side consensus or a company-specific catalyst for the mid-June selloff from the tools available, so treat those points accordingly.)</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2026-07-29T02:50:44Z</dcterms:created>
  <dcterms:modified xsi:type="dcterms:W3CDTF">2026-07-29T02:50:44Z</dcterms:modified>
</cp:coreProperties>
</file>

<file path=docProps/custom.xml><?xml version="1.0" encoding="utf-8"?>
<Properties xmlns="http://schemas.openxmlformats.org/officeDocument/2006/custom-properties" xmlns:vt="http://schemas.openxmlformats.org/officeDocument/2006/docPropsVTypes"/>
</file>