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~$628M vs. cons $616M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ARR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~$43M vs. cons $48M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cc-ARR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~8.5% (midpoint of 7.5%-9.5% reiterated) vs. cons ~8.5%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~$7.75 (midpoint of</w:t>
            </w:r>
            <w:r>
              <w:t xml:space="preserve"> </w:t>
            </w:r>
            <m:oMath>
              <m:r>
                <m:t>6.65</m:t>
              </m:r>
              <m:r>
                <m:rPr>
                  <m:sty m:val="p"/>
                </m:rPr>
                <m:t>−</m:t>
              </m:r>
            </m:oMath>
            <w:r>
              <w:t xml:space="preserve">8.90 reiterated) vs. cons ~$7.60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net new ARR / deferred-ARR unlock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e</m:t>
              </m:r>
              <m:r>
                <m:t>x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f</m:t>
              </m:r>
              <m:r>
                <m:t>i</m:t>
              </m:r>
              <m:r>
                <m:t>g</m:t>
              </m:r>
              <m:r>
                <m:t>u</m:t>
              </m:r>
              <m:r>
                <m:t>r</m:t>
              </m:r>
              <m:r>
                <m:t>e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q</m:t>
              </m:r>
              <m:r>
                <m:t>u</m:t>
              </m:r>
              <m:r>
                <m:t>a</m:t>
              </m:r>
              <m:r>
                <m:t>l</m:t>
              </m:r>
              <m:r>
                <m:t>i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85M implied Q4 net new ARR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Even with a likely EPS/revenue beat driven by favorable renewal duration and buybacks, the core debate—that 2H net-new ARR acceleration leans on previously-banked deferred ARR rather than fresh bookings (management conceded underlying new business is 'approximately' flat y/y)—means sell-side will dissect ARR quality post-print. With FY26 guidance likely reiterated rather than raised, FY27 AI monetization explicitly flagged as 'not overly material,' and a lingering Windchill/FlexPLM security overhang plus a fragile AI/software tape, initial buy-the-beat enthusiasm should fade over the week as analysts trim out-period (Q4/FY27) net-new ARR and margin assumptions, pulling the stock back toward/below pre-print levels.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2026-07-29T01:40:24Z</dcterms:created>
  <dcterms:modified xsi:type="dcterms:W3CDTF">2026-07-29T01:40:24Z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