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ptc-inc-ptc--fy2026-q3-earnings-preview"/>
    <w:p>
      <w:pPr>
        <w:pStyle w:val="Heading1"/>
      </w:pPr>
      <w:r>
        <w:t xml:space="preserve">PTC Inc. (PTC) — FY2026 Q3 Earnings Preview</w:t>
      </w:r>
    </w:p>
    <w:p>
      <w:pPr>
        <w:pStyle w:val="FirstParagraph"/>
      </w:pPr>
      <w:r>
        <w:rPr>
          <w:b/>
          <w:bCs/>
        </w:rPr>
        <w:t xml:space="preserve">Report Date:</w:t>
      </w:r>
      <w:r>
        <w:t xml:space="preserve"> </w:t>
      </w:r>
      <w:r>
        <w:t xml:space="preserve">Wednesday, July 29, 2026 (after market close) |</w:t>
      </w:r>
      <w:r>
        <w:t xml:space="preserve"> </w:t>
      </w:r>
      <w:r>
        <w:rPr>
          <w:b/>
          <w:bCs/>
        </w:rPr>
        <w:t xml:space="preserve">Fiscal Quarter:</w:t>
      </w:r>
      <w:r>
        <w:t xml:space="preserve"> </w:t>
      </w:r>
      <w:r>
        <w:t xml:space="preserve">Q3 FY2026 (ended June 30, 2026)</w:t>
      </w:r>
    </w:p>
    <w:p>
      <w:r>
        <w:pict>
          <v:rect style="width:0;height:1.5pt" o:hralign="center" o:hrstd="t" o:hr="t"/>
        </w:pict>
      </w:r>
    </w:p>
    <w:bookmarkStart w:id="9" w:name="X38b10e5f1f66c6291dc862b57ec7837e231cd7e"/>
    <w:p>
      <w:pPr>
        <w:pStyle w:val="Heading2"/>
      </w:pPr>
      <w:r>
        <w:t xml:space="preserve">1. Setup: A Story of Two Narratives</w:t>
      </w:r>
    </w:p>
    <w:p>
      <w:pPr>
        <w:pStyle w:val="FirstParagraph"/>
      </w:pPr>
      <w:r>
        <w:t xml:space="preserve">PTC comes into this print as a smaller, more focused company following the March 2026 divestiture of Kepware and ThingWorx, now organized entirely around its "Intelligent Product Lifecycle" (CAD/PLM/ALM/SLM) vision. Management has been telling a consistent, increasingly confident story over the last two quarters — but the stock has told a very different one, falling from the mid-$170s in January to the</w:t>
      </w:r>
      <w:r>
        <w:t xml:space="preserve"> </w:t>
      </w:r>
      <m:oMath>
        <m:r>
          <m:t>112</m:t>
        </m:r>
        <m:r>
          <m:rPr>
            <m:sty m:val="p"/>
          </m:rPr>
          <m:t>−</m:t>
        </m:r>
      </m:oMath>
      <w:r>
        <w:t xml:space="preserve">127 range currently, a roughly 25-30% decline year-to-date, including a sharp ~13% single-day drop on June 11 amid broad software-sector weakness.</w:t>
      </w:r>
    </w:p>
    <w:p>
      <w:pPr>
        <w:pStyle w:val="BodyText"/>
      </w:pPr>
      <w:r>
        <w:t xml:space="preserve">Two things investors need to reconcile heading into tomorrow's print:</w:t>
      </w:r>
    </w:p>
    <w:p>
      <w:pPr>
        <w:pStyle w:val="Compact"/>
        <w:numPr>
          <w:ilvl w:val="0"/>
          <w:numId w:val="1001"/>
        </w:numPr>
      </w:pPr>
      <w:r>
        <w:rPr>
          <w:b/>
          <w:bCs/>
        </w:rPr>
        <w:t xml:space="preserve">Fundamentals appear to be inflecting positively</w:t>
      </w:r>
      <w:r>
        <w:t xml:space="preserve"> </w:t>
      </w:r>
      <w:r>
        <w:t xml:space="preserve">(per management's commentary and Q2 results).</w:t>
      </w:r>
    </w:p>
    <w:p>
      <w:pPr>
        <w:pStyle w:val="Compact"/>
        <w:numPr>
          <w:ilvl w:val="0"/>
          <w:numId w:val="1001"/>
        </w:numPr>
      </w:pPr>
      <w:r>
        <w:rPr>
          <w:b/>
          <w:bCs/>
        </w:rPr>
        <w:t xml:space="preserve">The market has grown skeptical</w:t>
      </w:r>
      <w:r>
        <w:t xml:space="preserve">, pressured by (a) a broad AI/software valuation reset, (b) a critical Windchill/FlexPLM security vulnerability disclosed in June, and (c) concern that PTC's promised "second-half acceleration" leans heavily on previously-booked deferred ARR rather than fresh new-business generation.</w:t>
      </w:r>
    </w:p>
    <w:p>
      <w:r>
        <w:pict>
          <v:rect style="width:0;height:1.5pt" o:hralign="center" o:hrstd="t" o:hr="t"/>
        </w:pict>
      </w:r>
    </w:p>
    <w:bookmarkEnd w:id="9"/>
    <w:bookmarkStart w:id="10" w:name="X366cea03c74e5d4558e6e87f40f10abef8d4d77"/>
    <w:p>
      <w:pPr>
        <w:pStyle w:val="Heading2"/>
      </w:pPr>
      <w:r>
        <w:t xml:space="preserve">2. Q2 Recap: A Strong Setup Quarter</w:t>
      </w:r>
    </w:p>
    <w:p>
      <w:pPr>
        <w:pStyle w:val="FirstParagraph"/>
      </w:pPr>
      <w:r>
        <w:t xml:space="preserve">PTC's Q2 (reported May 6) beat across the board following the divestiture close:</w:t>
      </w:r>
    </w:p>
    <w:p>
      <w:pPr>
        <w:pStyle w:val="Compact"/>
        <w:numPr>
          <w:ilvl w:val="0"/>
          <w:numId w:val="1002"/>
        </w:numPr>
      </w:pPr>
      <w:r>
        <w:t xml:space="preserve">"We grew constant currency ARR 8.5% at the high end of guidance and free cash flow 14% year-over-year, exceeding our guidance range." Constant-currency ARR excluding divested businesses hit $2.388 billion.</w:t>
      </w:r>
    </w:p>
    <w:p>
      <w:pPr>
        <w:pStyle w:val="Compact"/>
        <w:numPr>
          <w:ilvl w:val="0"/>
          <w:numId w:val="1002"/>
        </w:numPr>
      </w:pPr>
      <w:r>
        <w:t xml:space="preserve">"Q2 operating cash flow and free cash flow both grew 14% year-over-year, and free cash flow came in above our guidance range."</w:t>
      </w:r>
    </w:p>
    <w:p>
      <w:pPr>
        <w:pStyle w:val="Compact"/>
        <w:numPr>
          <w:ilvl w:val="0"/>
          <w:numId w:val="1002"/>
        </w:numPr>
      </w:pPr>
      <w:r>
        <w:t xml:space="preserve">Revenue of $774M and non-GAAP EPS of $2.69 beat guidance ranges of $685-745M and $1.87-2.47 respectively, aided by "revenue growth benefited from renewals with longer duration, driving our revenue and EPS results above our guidance range."</w:t>
      </w:r>
    </w:p>
    <w:p>
      <w:pPr>
        <w:pStyle w:val="Compact"/>
        <w:numPr>
          <w:ilvl w:val="0"/>
          <w:numId w:val="1002"/>
        </w:numPr>
      </w:pPr>
      <w:r>
        <w:t xml:space="preserve">Capital return remained aggressive: PTC used $625M for buybacks in Q2 (including deploying the full $375M of divestiture proceeds into an accelerated share repurchase), and the board authorized a</w:t>
      </w:r>
      <w:r>
        <w:t xml:space="preserve"> </w:t>
      </w:r>
      <w:r>
        <w:rPr>
          <w:b/>
          <w:bCs/>
        </w:rPr>
        <w:t xml:space="preserve">new $2 billion buyback program</w:t>
      </w:r>
      <w:r>
        <w:t xml:space="preserve"> </w:t>
      </w:r>
      <w:r>
        <w:t xml:space="preserve">running FY27-FY28.</w:t>
      </w:r>
    </w:p>
    <w:p>
      <w:r>
        <w:pict>
          <v:rect style="width:0;height:1.5pt" o:hralign="center" o:hrstd="t" o:hr="t"/>
        </w:pict>
      </w:r>
    </w:p>
    <w:bookmarkEnd w:id="10"/>
    <w:bookmarkStart w:id="11" w:name="X2fbd6885f26b308d7786063626498b61b755d5e"/>
    <w:p>
      <w:pPr>
        <w:pStyle w:val="Heading2"/>
      </w:pPr>
      <w:r>
        <w:t xml:space="preserve">3. What Management Guided For Q3</w:t>
      </w:r>
    </w:p>
    <w:p>
      <w:pPr>
        <w:pStyle w:val="FirstParagraph"/>
      </w:pPr>
      <w:r>
        <w:t xml:space="preserve">For the quarter reporting tomorrow, PTC's own framework calls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Q3'26 Guidance</w:t>
            </w:r>
          </w:p>
        </w:tc>
      </w:tr>
      <w:tr>
        <w:tc>
          <w:tcPr/>
          <w:p>
            <w:pPr>
              <w:pStyle w:val="Compact"/>
            </w:pPr>
            <w:r>
              <w:t xml:space="preserve">Constant-currency ARR growth (ex-divested)</w:t>
            </w:r>
          </w:p>
        </w:tc>
        <w:tc>
          <w:tcPr/>
          <w:p>
            <w:pPr>
              <w:pStyle w:val="Compact"/>
            </w:pPr>
            <w:r>
              <w:t xml:space="preserve">8% to 9%</w:t>
            </w:r>
          </w:p>
        </w:tc>
      </w:tr>
      <w:tr>
        <w:tc>
          <w:tcPr/>
          <w:p>
            <w:pPr>
              <w:pStyle w:val="Compact"/>
            </w:pPr>
            <w:r>
              <w:t xml:space="preserve">Net new ARR</w:t>
            </w:r>
          </w:p>
        </w:tc>
        <w:tc>
          <w:tcPr/>
          <w:p>
            <w:pPr>
              <w:pStyle w:val="Compact"/>
            </w:pPr>
            <w:r>
              <w:t xml:space="preserve">$40M to $55M</w:t>
            </w:r>
          </w:p>
        </w:tc>
      </w:tr>
      <w:tr>
        <w:tc>
          <w:tcPr/>
          <w:p>
            <w:pPr>
              <w:pStyle w:val="Compact"/>
            </w:pPr>
            <w:r>
              <w:t xml:space="preserve">Revenue</w:t>
            </w:r>
          </w:p>
        </w:tc>
        <w:tc>
          <w:tcPr/>
          <w:p>
            <w:pPr>
              <w:pStyle w:val="Compact"/>
            </w:pPr>
            <w:r>
              <w:t xml:space="preserve">$580M to $640M</w:t>
            </w:r>
          </w:p>
        </w:tc>
      </w:tr>
      <w:tr>
        <w:tc>
          <w:tcPr/>
          <w:p>
            <w:pPr>
              <w:pStyle w:val="Compact"/>
            </w:pPr>
            <w:r>
              <w:t xml:space="preserve">Free cash flow</w:t>
            </w:r>
          </w:p>
        </w:tc>
        <w:tc>
          <w:tcPr/>
          <w:p>
            <w:pPr>
              <w:pStyle w:val="Compact"/>
            </w:pPr>
            <w:r>
              <w:t xml:space="preserve">$240M to $245M</w:t>
            </w:r>
          </w:p>
        </w:tc>
      </w:tr>
      <w:tr>
        <w:tc>
          <w:tcPr/>
          <w:p>
            <w:pPr>
              <w:pStyle w:val="Compact"/>
            </w:pPr>
            <w:r>
              <w:t xml:space="preserve">Non-GAAP EPS</w:t>
            </w:r>
          </w:p>
        </w:tc>
        <w:tc>
          <w:tcPr/>
          <w:p>
            <w:pPr>
              <w:pStyle w:val="Compact"/>
            </w:pPr>
            <w:r>
              <w:t xml:space="preserve">$1.24 to $1.78</w:t>
            </w:r>
          </w:p>
        </w:tc>
      </w:tr>
      <w:tr>
        <w:tc>
          <w:tcPr/>
          <w:p>
            <w:pPr>
              <w:pStyle w:val="Compact"/>
            </w:pPr>
            <w:r>
              <w:t xml:space="preserve">Fully diluted share count</w:t>
            </w:r>
          </w:p>
        </w:tc>
        <w:tc>
          <w:tcPr/>
          <w:p>
            <w:pPr>
              <w:pStyle w:val="Compact"/>
            </w:pPr>
            <w:r>
              <w:t xml:space="preserve">~115-116M (vs. 120M in Q3'25)</w:t>
            </w:r>
          </w:p>
        </w:tc>
      </w:tr>
    </w:tbl>
    <w:p>
      <w:pPr>
        <w:pStyle w:val="BodyText"/>
      </w:pPr>
      <w:r>
        <w:t xml:space="preserve">Wall Street consensus currently sits at roughly</w:t>
      </w:r>
      <w:r>
        <w:t xml:space="preserve"> </w:t>
      </w:r>
      <m:oMath>
        <m:r>
          <m:t>1.60</m:t>
        </m:r>
        <m:r>
          <m:t>n</m:t>
        </m:r>
        <m:r>
          <m:t>o</m:t>
        </m:r>
        <m:r>
          <m:t>n</m:t>
        </m:r>
        <m:r>
          <m:rPr>
            <m:sty m:val="p"/>
          </m:rPr>
          <m:t>−</m:t>
        </m:r>
        <m:r>
          <m:t>G</m:t>
        </m:r>
        <m:r>
          <m:t>A</m:t>
        </m:r>
        <m:r>
          <m:t>A</m:t>
        </m:r>
        <m:r>
          <m:t>P</m:t>
        </m:r>
        <m:r>
          <m:t>E</m:t>
        </m:r>
        <m:r>
          <m:t>P</m:t>
        </m:r>
        <m:r>
          <m:t>S</m:t>
        </m:r>
        <m:r>
          <m:rPr>
            <m:sty m:val="p"/>
          </m:rPr>
          <m:t>*</m:t>
        </m:r>
        <m:r>
          <m:rPr>
            <m:sty m:val="p"/>
          </m:rPr>
          <m:t>*</m:t>
        </m:r>
        <m:r>
          <m:t>a</m:t>
        </m:r>
        <m:r>
          <m:t>n</m:t>
        </m:r>
        <m:r>
          <m:t>d</m:t>
        </m:r>
        <m:r>
          <m:rPr>
            <m:sty m:val="p"/>
          </m:rPr>
          <m:t>*</m:t>
        </m:r>
        <m:r>
          <m:rPr>
            <m:sty m:val="p"/>
          </m:rPr>
          <m:t>*</m:t>
        </m:r>
        <m:r>
          <m:t> </m:t>
        </m:r>
      </m:oMath>
      <w:r>
        <w:rPr>
          <w:b/>
          <w:bCs/>
        </w:rPr>
        <w:t xml:space="preserve">616M revenue</w:t>
      </w:r>
      <w:r>
        <w:t xml:space="preserve"> </w:t>
      </w:r>
      <w:r>
        <w:t xml:space="preserve">— comfortably inside PTC's guided ranges, suggesting the bar is not particularly aggressive, but also not one where much slippage would be tolerated given how negatively the market has been reacting to any tech/software wobble in recent weeks.</w:t>
      </w:r>
    </w:p>
    <w:p>
      <w:pPr>
        <w:pStyle w:val="BodyText"/>
      </w:pPr>
      <w:r>
        <w:t xml:space="preserve">Full-year FY26 guidance calls for constant-currency ARR growth of 7.5%-9.5%, revenue of</w:t>
      </w:r>
      <w:r>
        <w:t xml:space="preserve"> </w:t>
      </w:r>
      <m:oMath>
        <m:r>
          <m:t>2.58</m:t>
        </m:r>
        <m:r>
          <m:t>B</m:t>
        </m:r>
        <m:r>
          <m:rPr>
            <m:sty m:val="p"/>
          </m:rPr>
          <m:t>−</m:t>
        </m:r>
      </m:oMath>
      <w:r>
        <w:t xml:space="preserve">2.82B, and non-GAAP EPS of</w:t>
      </w:r>
      <w:r>
        <w:t xml:space="preserve"> </w:t>
      </w:r>
      <m:oMath>
        <m:r>
          <m:t>6.65</m:t>
        </m:r>
        <m:r>
          <m:rPr>
            <m:sty m:val="p"/>
          </m:rPr>
          <m:t>−</m:t>
        </m:r>
      </m:oMath>
      <w:r>
        <w:t xml:space="preserve">8.90.</w:t>
      </w:r>
    </w:p>
    <w:p>
      <w:r>
        <w:pict>
          <v:rect style="width:0;height:1.5pt" o:hralign="center" o:hrstd="t" o:hr="t"/>
        </w:pict>
      </w:r>
    </w:p>
    <w:bookmarkEnd w:id="11"/>
    <w:bookmarkStart w:id="12" w:name="X707cec9a1cecfab7e290e2974c34a526aa0996e"/>
    <w:p>
      <w:pPr>
        <w:pStyle w:val="Heading2"/>
      </w:pPr>
      <w:r>
        <w:t xml:space="preserve">4. The Central Debate: Is the "Second-Half Acceleration" Real Demand or Just Deferred ARR Unlocking?</w:t>
      </w:r>
    </w:p>
    <w:p>
      <w:pPr>
        <w:pStyle w:val="FirstParagraph"/>
      </w:pPr>
      <w:r>
        <w:t xml:space="preserve">This is arguably the most important storyline for tomorrow. On the Q2 call, CFO Jen DiRico was explicit that the anticipated ramp in net new ARR is less about a step-change in new demand and more about previously contracted deferred ARR flowing through:</w:t>
      </w:r>
    </w:p>
    <w:p>
      <w:pPr>
        <w:pStyle w:val="Compact"/>
        <w:numPr>
          <w:ilvl w:val="0"/>
          <w:numId w:val="1003"/>
        </w:numPr>
      </w:pPr>
      <w:r>
        <w:t xml:space="preserve">"if you look at what we have to do for the second half of the year versus what we did last -- second half of last year, it's about $127 million of net new ARR in the second half of this year, which is about $7 million more than we did last year for the second half... it's about the step-up is much more around the deferred ARR that we already have banked and the team really having to perform in line with what they did last year."</w:t>
      </w:r>
    </w:p>
    <w:p>
      <w:pPr>
        <w:pStyle w:val="Compact"/>
        <w:numPr>
          <w:ilvl w:val="0"/>
          <w:numId w:val="1003"/>
        </w:numPr>
      </w:pPr>
      <w:r>
        <w:t xml:space="preserve">When pressed directly on whether underlying net new ARR (excluding the deferred ARR unlock) is essentially flat year-over-year in the back half, DiRico responded "Approximately."</w:t>
      </w:r>
    </w:p>
    <w:p>
      <w:pPr>
        <w:pStyle w:val="FirstParagraph"/>
      </w:pPr>
      <w:r>
        <w:t xml:space="preserve">Independent analysis has flagged this as a key risk: PTC's "guided second-half growth depends heavily on recognizing previously booked 'deferred ARR,' with underlying new business generation looking 'Approximately' flat year-over-year", and management itself has cautioned that management stated that direct monetization from new AI products will not be "overly material" in fiscal '27.</w:t>
      </w:r>
      <w:r>
        <w:t xml:space="preserve"> </w:t>
      </w:r>
      <w:r>
        <w:rPr>
          <w:b/>
          <w:bCs/>
        </w:rPr>
        <w:t xml:space="preserve">Watch tomorrow for</w:t>
      </w:r>
      <w:r>
        <w:t xml:space="preserve">: (1) whether Q3 net new ARR actually lands within/above the $40-55M range, (2) fresh commentary on FY27 deferred ARR visibility, and (3) whether management can point to accelerating</w:t>
      </w:r>
      <w:r>
        <w:t xml:space="preserve"> </w:t>
      </w:r>
      <w:r>
        <w:rPr>
          <w:i/>
          <w:iCs/>
        </w:rPr>
        <w:t xml:space="preserve">new</w:t>
      </w:r>
      <w:r>
        <w:t xml:space="preserve"> </w:t>
      </w:r>
      <w:r>
        <w:t xml:space="preserve">demand capture (not just contracted backlog) — this is what would validate the "durable reacceleration" thesis versus the bear case that growth is being manufactured through deal structuring.</w:t>
      </w:r>
    </w:p>
    <w:p>
      <w:r>
        <w:pict>
          <v:rect style="width:0;height:1.5pt" o:hralign="center" o:hrstd="t" o:hr="t"/>
        </w:pict>
      </w:r>
    </w:p>
    <w:bookmarkEnd w:id="12"/>
    <w:bookmarkStart w:id="13" w:name="X3e292f2fcc5dd15d1bfa3892201b20eb323a508"/>
    <w:p>
      <w:pPr>
        <w:pStyle w:val="Heading2"/>
      </w:pPr>
      <w:r>
        <w:t xml:space="preserve">5. The AI Narrative: Modernization Demand, Not Yet Monetization</w:t>
      </w:r>
    </w:p>
    <w:p>
      <w:pPr>
        <w:pStyle w:val="FirstParagraph"/>
      </w:pPr>
      <w:r>
        <w:t xml:space="preserve">Management's core pitch is that AI adoption requires customers to first modernize their "product data foundation" (CAD/PLM/ALM/SLM systems), which drives demand for PTC's core platforms (Windchill, Windchill+, Creo, Onshape, Codebeamer, ServiceMax) even before any AI-specific monetization occurs. CEO Neil Barua summarized it as: "Our customers are recognizing that the strength of their product data foundation determines their AI ceiling." The company is scaling AI releases aggressively — "nearly doubling our AI releases in 2026 versus 2025, including our first AI native products" — with specific traction cited in ServiceMax (a "7-figure" AI SKU expansion), Onshape AI, and cloud-native PLM supply chain intelligence. Management flagged strength in electronics/high-tech (data center buildouts) and federal/aerospace/defense (Windchill standardized at the U.S. Army) as leading verticals.</w:t>
      </w:r>
    </w:p>
    <w:p>
      <w:pPr>
        <w:pStyle w:val="BodyText"/>
      </w:pPr>
      <w:r>
        <w:t xml:space="preserve">Importantly, CFO DiRico has repeatedly tempered near-term monetization expectations: "we'll see some monetization in '27, but not overly material... largely, it's early days for us in terms of different hybrid models." Investors should treat AI commentary tomorrow as a</w:t>
      </w:r>
      <w:r>
        <w:t xml:space="preserve"> </w:t>
      </w:r>
      <w:r>
        <w:rPr>
          <w:b/>
          <w:bCs/>
        </w:rPr>
        <w:t xml:space="preserve">pipeline/demand indicator</w:t>
      </w:r>
      <w:r>
        <w:t xml:space="preserve">, not a near-term revenue driver.</w:t>
      </w:r>
    </w:p>
    <w:p>
      <w:r>
        <w:pict>
          <v:rect style="width:0;height:1.5pt" o:hralign="center" o:hrstd="t" o:hr="t"/>
        </w:pict>
      </w:r>
    </w:p>
    <w:bookmarkEnd w:id="13"/>
    <w:bookmarkStart w:id="14" w:name="X0dcf954157bfed8129d8d1dc2ab14808663b1ed"/>
    <w:p>
      <w:pPr>
        <w:pStyle w:val="Heading2"/>
      </w:pPr>
      <w:r>
        <w:t xml:space="preserve">6. Wildcard: The Windchill/FlexPLM Security Vulnerability</w:t>
      </w:r>
    </w:p>
    <w:p>
      <w:pPr>
        <w:pStyle w:val="FirstParagraph"/>
      </w:pPr>
      <w:r>
        <w:t xml:space="preserve">A critical remote-code-execution vulnerability in Windchill and FlexPLM (CVE-2026-12569) was disclosed in June 2026, with PTC issuing patches through July 14 and continuing to "provide additional updates, patches, and hardening measures designed to further strengthen and protect customer environments". This coincided with the stock's steep June sell-off, and analysts have flagged it as a contributing factor to underperformance, alongside "recent customer patch activity tied to a critical Windchill and FlexPLM security vulnerability disclosed in June and updated in July". This is a name-specific overhang distinct from the broader software/AI valuation reset — investors should listen for any commentary on customer trust impact, churn risk, or costs related to remediation, though management has not indicated a material ARR impact to date.</w:t>
      </w:r>
    </w:p>
    <w:p>
      <w:r>
        <w:pict>
          <v:rect style="width:0;height:1.5pt" o:hralign="center" o:hrstd="t" o:hr="t"/>
        </w:pict>
      </w:r>
    </w:p>
    <w:bookmarkEnd w:id="14"/>
    <w:bookmarkStart w:id="15" w:name="X00ab1dc75d595d135080509973868892c0d3553"/>
    <w:p>
      <w:pPr>
        <w:pStyle w:val="Heading2"/>
      </w:pPr>
      <w:r>
        <w:t xml:space="preserve">7. Capital Returns and Balance Sheet</w:t>
      </w:r>
    </w:p>
    <w:p>
      <w:pPr>
        <w:pStyle w:val="FirstParagraph"/>
      </w:pPr>
      <w:r>
        <w:t xml:space="preserve">PTC remains committed to an unusually aggressive buyback cadence: ~$250M of repurchases planned in Q3, full-year FY26 repurchases of</w:t>
      </w:r>
      <w:r>
        <w:t xml:space="preserve"> </w:t>
      </w:r>
      <m:oMath>
        <m:r>
          <m:t>1.225</m:t>
        </m:r>
        <m:r>
          <m:t>B</m:t>
        </m:r>
        <m:r>
          <m:rPr>
            <m:sty m:val="p"/>
          </m:rPr>
          <m:t>−</m:t>
        </m:r>
      </m:oMath>
      <w:r>
        <w:t xml:space="preserve">1.325B, and the new $2B authorization spanning FY27-FY28. Management has been explicit that, given where the stock trades, "share buybacks have been in our eyes, a very good use of capital" — a stance reiterated at the JPMorgan conference in May. This should continue to support EPS via share count reduction (guided to ~115-116M diluted shares in Q3 vs. 120M a year ago) even if top-line growth remains gradual.</w:t>
      </w:r>
    </w:p>
    <w:p>
      <w:r>
        <w:pict>
          <v:rect style="width:0;height:1.5pt" o:hralign="center" o:hrstd="t" o:hr="t"/>
        </w:pict>
      </w:r>
    </w:p>
    <w:bookmarkEnd w:id="15"/>
    <w:bookmarkStart w:id="16" w:name="Xe58369c984d1d4fa64b504e7edc692665d7e8c9"/>
    <w:p>
      <w:pPr>
        <w:pStyle w:val="Heading2"/>
      </w:pPr>
      <w:r>
        <w:t xml:space="preserve">8. Sentiment, Valuation, and Sector Backdrop</w:t>
      </w:r>
    </w:p>
    <w:p>
      <w:pPr>
        <w:pStyle w:val="Compact"/>
        <w:numPr>
          <w:ilvl w:val="0"/>
          <w:numId w:val="1004"/>
        </w:numPr>
      </w:pPr>
      <w:r>
        <w:t xml:space="preserve">Sell-side sentiment has been mixed and trending more cautious: Berenberg cut its price target to</w:t>
      </w:r>
      <w:r>
        <w:t xml:space="preserve"> </w:t>
      </w:r>
      <m:oMath>
        <m:r>
          <m:t>170</m:t>
        </m:r>
        <m:r>
          <m:rPr>
            <m:sty m:val="p"/>
          </m:rPr>
          <m:t>(</m:t>
        </m:r>
        <m:r>
          <m:t>H</m:t>
        </m:r>
        <m:r>
          <m:t>o</m:t>
        </m:r>
        <m:r>
          <m:t>l</m:t>
        </m:r>
        <m:r>
          <m:t>d</m:t>
        </m:r>
        <m:r>
          <m:rPr>
            <m:sty m:val="p"/>
          </m:rPr>
          <m:t>)</m:t>
        </m:r>
        <m:r>
          <m:t>i</m:t>
        </m:r>
        <m:r>
          <m:t>n</m:t>
        </m:r>
        <m:r>
          <m:t>l</m:t>
        </m:r>
        <m:r>
          <m:t>a</m:t>
        </m:r>
        <m:r>
          <m:t>t</m:t>
        </m:r>
        <m:r>
          <m:t>e</m:t>
        </m:r>
        <m:r>
          <m:t>M</m:t>
        </m:r>
        <m:r>
          <m:t>a</m:t>
        </m:r>
        <m:r>
          <m:t>y</m:t>
        </m:r>
        <m:r>
          <m:t>c</m:t>
        </m:r>
        <m:r>
          <m:t>i</m:t>
        </m:r>
        <m:r>
          <m:t>t</m:t>
        </m:r>
        <m:r>
          <m:t>i</m:t>
        </m:r>
        <m:r>
          <m:t>n</m:t>
        </m:r>
        <m:r>
          <m:t>g</m:t>
        </m:r>
        <m:r>
          <m:t>v</m:t>
        </m:r>
        <m:r>
          <m:t>a</m:t>
        </m:r>
        <m:r>
          <m:t>l</m:t>
        </m:r>
        <m:r>
          <m:t>u</m:t>
        </m:r>
        <m:r>
          <m:t>a</m:t>
        </m:r>
        <m:r>
          <m:t>t</m:t>
        </m:r>
        <m:r>
          <m:t>i</m:t>
        </m:r>
        <m:r>
          <m:t>o</m:t>
        </m:r>
        <m:r>
          <m:t>n</m:t>
        </m:r>
        <m:r>
          <m:t>d</m:t>
        </m:r>
        <m:r>
          <m:t>e</m:t>
        </m:r>
        <m:r>
          <m:t>s</m:t>
        </m:r>
        <m:r>
          <m:t>p</m:t>
        </m:r>
        <m:r>
          <m:t>i</m:t>
        </m:r>
        <m:r>
          <m:t>t</m:t>
        </m:r>
        <m:r>
          <m:t>e</m:t>
        </m:r>
        <m:r>
          <m:t>A</m:t>
        </m:r>
        <m:r>
          <m:t>I</m:t>
        </m:r>
        <m:r>
          <m:t>t</m:t>
        </m:r>
        <m:r>
          <m:t>a</m:t>
        </m:r>
        <m:r>
          <m:t>i</m:t>
        </m:r>
        <m:r>
          <m:t>l</m:t>
        </m:r>
        <m:r>
          <m:t>w</m:t>
        </m:r>
        <m:r>
          <m:t>i</m:t>
        </m:r>
        <m:r>
          <m:t>n</m:t>
        </m:r>
        <m:r>
          <m:t>d</m:t>
        </m:r>
        <m:r>
          <m:t>s</m:t>
        </m:r>
        <m:r>
          <m:rPr>
            <m:sty m:val="p"/>
          </m:rPr>
          <m:t>,</m:t>
        </m:r>
        <m:r>
          <m:t>w</m:t>
        </m:r>
        <m:r>
          <m:t>h</m:t>
        </m:r>
        <m:r>
          <m:t>i</m:t>
        </m:r>
        <m:r>
          <m:t>l</m:t>
        </m:r>
        <m:r>
          <m:t>e</m:t>
        </m:r>
        <m:r>
          <m:t>C</m:t>
        </m:r>
        <m:r>
          <m:t>i</m:t>
        </m:r>
        <m:r>
          <m:t>t</m:t>
        </m:r>
        <m:r>
          <m:t>i</m:t>
        </m:r>
        <m:r>
          <m:t>a</m:t>
        </m:r>
        <m:r>
          <m:t>n</m:t>
        </m:r>
        <m:r>
          <m:t>d</m:t>
        </m:r>
        <m:r>
          <m:t>B</m:t>
        </m:r>
        <m:r>
          <m:t>N</m:t>
        </m:r>
        <m:r>
          <m:t>P</m:t>
        </m:r>
        <m:r>
          <m:t>P</m:t>
        </m:r>
        <m:r>
          <m:t>a</m:t>
        </m:r>
        <m:r>
          <m:t>r</m:t>
        </m:r>
        <m:r>
          <m:t>i</m:t>
        </m:r>
        <m:r>
          <m:t>b</m:t>
        </m:r>
        <m:r>
          <m:t>a</m:t>
        </m:r>
        <m:r>
          <m:t>s</m:t>
        </m:r>
        <m:r>
          <m:t>h</m:t>
        </m:r>
        <m:r>
          <m:t>a</m:t>
        </m:r>
        <m:r>
          <m:t>v</m:t>
        </m:r>
        <m:r>
          <m:t>e</m:t>
        </m:r>
        <m:r>
          <m:t>s</m:t>
        </m:r>
        <m:r>
          <m:t>e</m:t>
        </m:r>
        <m:r>
          <m:t>t</m:t>
        </m:r>
        <m:r>
          <m:t>m</m:t>
        </m:r>
        <m:r>
          <m:t>o</m:t>
        </m:r>
        <m:r>
          <m:t>r</m:t>
        </m:r>
        <m:r>
          <m:t>e</m:t>
        </m:r>
        <m:r>
          <m:t>c</m:t>
        </m:r>
        <m:r>
          <m:t>o</m:t>
        </m:r>
        <m:r>
          <m:t>n</m:t>
        </m:r>
        <m:r>
          <m:t>s</m:t>
        </m:r>
        <m:r>
          <m:t>e</m:t>
        </m:r>
        <m:r>
          <m:t>r</m:t>
        </m:r>
        <m:r>
          <m:t>v</m:t>
        </m:r>
        <m:r>
          <m:t>a</m:t>
        </m:r>
        <m:r>
          <m:t>t</m:t>
        </m:r>
        <m:r>
          <m:t>i</m:t>
        </m:r>
        <m:r>
          <m:t>v</m:t>
        </m:r>
        <m:r>
          <m:t>e</m:t>
        </m:r>
        <m:r>
          <m:t>t</m:t>
        </m:r>
        <m:r>
          <m:t>a</m:t>
        </m:r>
        <m:r>
          <m:t>r</m:t>
        </m:r>
        <m:r>
          <m:t>g</m:t>
        </m:r>
        <m:r>
          <m:t>e</m:t>
        </m:r>
        <m:r>
          <m:t>t</m:t>
        </m:r>
        <m:r>
          <m:t>s</m:t>
        </m:r>
        <m:r>
          <m:rPr>
            <m:sty m:val="p"/>
          </m:rPr>
          <m:t>(</m:t>
        </m:r>
      </m:oMath>
      <w:r>
        <w:t xml:space="preserve">155 Neutral, $130 Neutral respectively) as revenue estimates have been revised down roughly 7% over the past three months heading into this print.</w:t>
      </w:r>
    </w:p>
    <w:p>
      <w:pPr>
        <w:pStyle w:val="Compact"/>
        <w:numPr>
          <w:ilvl w:val="0"/>
          <w:numId w:val="1004"/>
        </w:numPr>
      </w:pPr>
      <w:r>
        <w:t xml:space="preserve">The stock's amplified volatility has been noted by outside analysts: PTC has historically shown "average peak-to-trough drawdown was about 21%, compared to about 16% for the S&amp;P 500" during market shocks, and the stock was trading roughly "about 47% below its 52-week high" as of mid-June.</w:t>
      </w:r>
    </w:p>
    <w:p>
      <w:pPr>
        <w:pStyle w:val="Compact"/>
        <w:numPr>
          <w:ilvl w:val="0"/>
          <w:numId w:val="1004"/>
        </w:numPr>
      </w:pPr>
      <w:r>
        <w:t xml:space="preserve">The broader macro backdrop entering earnings is shaky for AI/software names: as of July 28, Asian tech stocks were tumbling as the "buy the dip" mentality loses traction, with traders eager to exit AI stocks amid concerns about frothy valuations and excessive spending. This raises the bar for PTC to deliver a clean beat-and-raise to avoid being caught in sector-wide de-rating.</w:t>
      </w:r>
    </w:p>
    <w:p>
      <w:pPr>
        <w:pStyle w:val="Compact"/>
        <w:numPr>
          <w:ilvl w:val="0"/>
          <w:numId w:val="1004"/>
        </w:numPr>
      </w:pPr>
      <w:r>
        <w:t xml:space="preserve">On the other hand, PTC shares have rallied off their July lows (from ~</w:t>
      </w:r>
      <m:oMath>
        <m:r>
          <m:t>113</m:t>
        </m:r>
        <m:r>
          <m:t>o</m:t>
        </m:r>
        <m:r>
          <m:t>n</m:t>
        </m:r>
        <m:r>
          <m:t>J</m:t>
        </m:r>
        <m:r>
          <m:t>u</m:t>
        </m:r>
        <m:r>
          <m:t>l</m:t>
        </m:r>
        <m:r>
          <m:t>y</m:t>
        </m:r>
        <m:r>
          <m:t>22</m:t>
        </m:r>
        <m:r>
          <m:rPr>
            <m:sty m:val="p"/>
          </m:rPr>
          <m:t>−</m:t>
        </m:r>
        <m:r>
          <m:t>23</m:t>
        </m:r>
        <m:r>
          <m:t>t</m:t>
        </m:r>
        <m:r>
          <m:t>o</m:t>
        </m:r>
        <m:r>
          <m:t> </m:t>
        </m:r>
      </m:oMath>
      <w:r>
        <w:t xml:space="preserve">127.5 by July 28), suggesting some pre-earnings optimism has crept back in.</w:t>
      </w:r>
    </w:p>
    <w:p>
      <w:r>
        <w:pict>
          <v:rect style="width:0;height:1.5pt" o:hralign="center" o:hrstd="t" o:hr="t"/>
        </w:pict>
      </w:r>
    </w:p>
    <w:bookmarkEnd w:id="16"/>
    <w:bookmarkStart w:id="17" w:name="X762d9de065d5f32bd176e374e1c262fa338ea9a"/>
    <w:p>
      <w:pPr>
        <w:pStyle w:val="Heading2"/>
      </w:pPr>
      <w:r>
        <w:t xml:space="preserve">9. Key Things to Watch Tomorrow</w:t>
      </w:r>
    </w:p>
    <w:p>
      <w:pPr>
        <w:pStyle w:val="Compact"/>
        <w:numPr>
          <w:ilvl w:val="0"/>
          <w:numId w:val="1005"/>
        </w:numPr>
      </w:pPr>
      <w:r>
        <w:rPr>
          <w:b/>
          <w:bCs/>
        </w:rPr>
        <w:t xml:space="preserve">Net new ARR</w:t>
      </w:r>
      <w:r>
        <w:t xml:space="preserve"> </w:t>
      </w:r>
      <w:r>
        <w:t xml:space="preserve">— Did it land within/above the $40-55M guided range, and how much came from deferred ARR conversion vs. fresh bookings?</w:t>
      </w:r>
    </w:p>
    <w:p>
      <w:pPr>
        <w:pStyle w:val="Compact"/>
        <w:numPr>
          <w:ilvl w:val="0"/>
          <w:numId w:val="1005"/>
        </w:numPr>
      </w:pPr>
      <w:r>
        <w:rPr>
          <w:b/>
          <w:bCs/>
        </w:rPr>
        <w:t xml:space="preserve">FY26 guidance</w:t>
      </w:r>
      <w:r>
        <w:t xml:space="preserve"> </w:t>
      </w:r>
      <w:r>
        <w:t xml:space="preserve">— Reiterated, raised, or trimmed (especially given FX moves and the AI-driven software selloff)?</w:t>
      </w:r>
    </w:p>
    <w:p>
      <w:pPr>
        <w:pStyle w:val="Compact"/>
        <w:numPr>
          <w:ilvl w:val="0"/>
          <w:numId w:val="1005"/>
        </w:numPr>
      </w:pPr>
      <w:r>
        <w:rPr>
          <w:b/>
          <w:bCs/>
        </w:rPr>
        <w:t xml:space="preserve">Q4 setup commentary</w:t>
      </w:r>
      <w:r>
        <w:t xml:space="preserve"> </w:t>
      </w:r>
      <w:r>
        <w:t xml:space="preserve">— Any incremental color on the promised "significant step-up" in Q4 net new ARR and FY27 deferred ARR visibility.</w:t>
      </w:r>
    </w:p>
    <w:p>
      <w:pPr>
        <w:pStyle w:val="Compact"/>
        <w:numPr>
          <w:ilvl w:val="0"/>
          <w:numId w:val="1005"/>
        </w:numPr>
      </w:pPr>
      <w:r>
        <w:rPr>
          <w:b/>
          <w:bCs/>
        </w:rPr>
        <w:t xml:space="preserve">Vertical trends</w:t>
      </w:r>
      <w:r>
        <w:t xml:space="preserve"> </w:t>
      </w:r>
      <w:r>
        <w:t xml:space="preserve">— Continued strength in electronics/high-tech (data center buildout) and federal/aerospace/defense; any signs of macro-driven deal slippage.</w:t>
      </w:r>
    </w:p>
    <w:p>
      <w:pPr>
        <w:pStyle w:val="Compact"/>
        <w:numPr>
          <w:ilvl w:val="0"/>
          <w:numId w:val="1005"/>
        </w:numPr>
      </w:pPr>
      <w:r>
        <w:rPr>
          <w:b/>
          <w:bCs/>
        </w:rPr>
        <w:t xml:space="preserve">Windchill+ and displacement wins</w:t>
      </w:r>
      <w:r>
        <w:t xml:space="preserve"> </w:t>
      </w:r>
      <w:r>
        <w:t xml:space="preserve">— Continued momentum in cloud migration and competitive displacements (Codebeamer, Onshape) as proof points of the "modernization" thesis.</w:t>
      </w:r>
    </w:p>
    <w:p>
      <w:pPr>
        <w:pStyle w:val="Compact"/>
        <w:numPr>
          <w:ilvl w:val="0"/>
          <w:numId w:val="1005"/>
        </w:numPr>
      </w:pPr>
      <w:r>
        <w:rPr>
          <w:b/>
          <w:bCs/>
        </w:rPr>
        <w:t xml:space="preserve">Security vulnerability follow-through</w:t>
      </w:r>
      <w:r>
        <w:t xml:space="preserve"> </w:t>
      </w:r>
      <w:r>
        <w:t xml:space="preserve">— Any disclosed financial/reputational impact from the Windchill/FlexPLM CVE.</w:t>
      </w:r>
    </w:p>
    <w:p>
      <w:pPr>
        <w:pStyle w:val="Compact"/>
        <w:numPr>
          <w:ilvl w:val="0"/>
          <w:numId w:val="1005"/>
        </w:numPr>
      </w:pPr>
      <w:r>
        <w:rPr>
          <w:b/>
          <w:bCs/>
        </w:rPr>
        <w:t xml:space="preserve">Capital allocation</w:t>
      </w:r>
      <w:r>
        <w:t xml:space="preserve"> </w:t>
      </w:r>
      <w:r>
        <w:t xml:space="preserve">— Confirmation of the ~$250M Q3 buyback and any early framing of FY27 capital return plans.</w:t>
      </w:r>
    </w:p>
    <w:p>
      <w:pPr>
        <w:pStyle w:val="Compact"/>
        <w:numPr>
          <w:ilvl w:val="0"/>
          <w:numId w:val="1005"/>
        </w:numPr>
      </w:pPr>
      <w:r>
        <w:rPr>
          <w:b/>
          <w:bCs/>
        </w:rPr>
        <w:t xml:space="preserve">Rep productivity/renewal rates</w:t>
      </w:r>
      <w:r>
        <w:t xml:space="preserve"> </w:t>
      </w:r>
      <w:r>
        <w:t xml:space="preserve">— Continued evidence that the 16-month-old go-to-market transformation is translating into durable, not just deal-structured, growth.</w:t>
      </w:r>
    </w:p>
    <w:p>
      <w:r>
        <w:pict>
          <v:rect style="width:0;height:1.5pt" o:hralign="center" o:hrstd="t" o:hr="t"/>
        </w:pict>
      </w:r>
    </w:p>
    <w:bookmarkEnd w:id="17"/>
    <w:bookmarkStart w:id="18" w:name="bottom-line"/>
    <w:p>
      <w:pPr>
        <w:pStyle w:val="Heading2"/>
      </w:pPr>
      <w:r>
        <w:t xml:space="preserve">Bottom Line</w:t>
      </w:r>
    </w:p>
    <w:p>
      <w:pPr>
        <w:pStyle w:val="FirstParagraph"/>
      </w:pPr>
      <w:r>
        <w:t xml:space="preserve">PTC heads into this print with genuinely improving underlying metrics — ARR growth at the high end of guidance, expanding free cash flow, and an AI-driven "modernization" narrative that resonates with customers — but a stock price that has been punished by sector-wide AI/software valuation compression and a company-specific cybersecurity scare. The key swing factor for tomorrow isn't whether PTC hits its own guidance (consensus estimates sit comfortably within management's ranges), but whether the company can demonstrate that its second-half growth acceleration reflects genuine new demand capture rather than simply the maturation of previously banked deferred ARR — the central question management itself has yet to fully resolve for investors.</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2026-07-29T01:40:24Z</dcterms:created>
  <dcterms:modified xsi:type="dcterms:W3CDTF">2026-07-29T01:40:24Z</dcterms:modified>
</cp:coreProperties>
</file>

<file path=docProps/custom.xml><?xml version="1.0" encoding="utf-8"?>
<Properties xmlns="http://schemas.openxmlformats.org/officeDocument/2006/custom-properties" xmlns:vt="http://schemas.openxmlformats.org/officeDocument/2006/docPropsVTypes"/>
</file>