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tc-earnings-predictions--2026-07-29"/>
    <w:p>
      <w:pPr>
        <w:pStyle w:val="Heading1"/>
      </w:pPr>
      <w:r>
        <w:t xml:space="preserve">PTC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Constant-currency ARR growth excluding divested businesses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~8.8% vs. cons 8.5%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~$620M vs. cons $614M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Net-new ARR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~$82M vs. cons $80M (fiscal 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Constant-currency ARR growth excluding divested businesses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~8.75% midpoint vs. cons 8.7%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~$850M vs. cons $850M (fiscal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Normalized free-cash-flow baseline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~$950M vs. cons $950M (fiscal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(FADE)</w:t>
            </w:r>
          </w:p>
        </w:tc>
        <w:tc>
          <w:tcPr/>
          <w:p>
            <w:pPr>
              <w:pStyle w:val="Compact"/>
            </w:pPr>
            <w:r>
              <w:t xml:space="preserve">An ARR beat and preserved Q4 step-up should drive an initial relief rally, but an approximately unchanged FY2026/FY2027 cash-flow framework and limited formal out-period upside should constrain estimate revisions and cause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2026-07-29T01:39:05Z</dcterms:created>
  <dcterms:modified xsi:type="dcterms:W3CDTF">2026-07-29T01:39:05Z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