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ptc-fiscal-q3-2026-earnings-preview"/>
    <w:p>
      <w:pPr>
        <w:pStyle w:val="Heading1"/>
      </w:pPr>
      <w:r>
        <w:t xml:space="preserve">PTC Fiscal Q3 2026 Earnings Preview</w:t>
      </w:r>
    </w:p>
    <w:p>
      <w:pPr>
        <w:pStyle w:val="BlockText"/>
      </w:pPr>
      <w:r>
        <w:rPr>
          <w:b/>
          <w:bCs/>
        </w:rPr>
        <w:t xml:space="preserve">Timing note:</w:t>
      </w:r>
      <w:r>
        <w:t xml:space="preserve"> </w:t>
      </w:r>
      <w:r>
        <w:t xml:space="preserve">PTC is scheduled to report</w:t>
      </w:r>
      <w:r>
        <w:t xml:space="preserve"> </w:t>
      </w:r>
      <w:r>
        <w:rPr>
          <w:b/>
          <w:bCs/>
        </w:rPr>
        <w:t xml:space="preserve">today, Wednesday, July 29, 2026, after the market closes</w:t>
      </w:r>
      <w:r>
        <w:t xml:space="preserve">, with the earnings call at 5:00 p.m. ET—not tomorrow. (</w:t>
      </w:r>
      <w:hyperlink r:id="rId9">
        <w:r>
          <w:rPr>
            <w:rStyle w:val="Hyperlink"/>
          </w:rPr>
          <w:t xml:space="preserve">investor.ptc.com</w:t>
        </w:r>
      </w:hyperlink>
      <w:r>
        <w:t xml:space="preserve">)</w:t>
      </w:r>
    </w:p>
    <w:bookmarkStart w:id="10" w:name="investment-setup"/>
    <w:p>
      <w:pPr>
        <w:pStyle w:val="Heading2"/>
      </w:pPr>
      <w:r>
        <w:t xml:space="preserve">Investment setup</w:t>
      </w:r>
    </w:p>
    <w:p>
      <w:pPr>
        <w:pStyle w:val="FirstParagraph"/>
      </w:pPr>
      <w:r>
        <w:t xml:space="preserve">This quarter is primarily a test of whether PTC’s improving sales execution is translating into</w:t>
      </w:r>
      <w:r>
        <w:t xml:space="preserve"> </w:t>
      </w:r>
      <w:r>
        <w:rPr>
          <w:b/>
          <w:bCs/>
        </w:rPr>
        <w:t xml:space="preserve">accelerating net-new ARR</w:t>
      </w:r>
      <w:r>
        <w:t xml:space="preserve">. Revenue and EPS matter, but they can fluctuate materially with contract duration and the mix of on-premise subscriptions versus SaaS. The more important signals will be:</w:t>
      </w:r>
    </w:p>
    <w:p>
      <w:pPr>
        <w:pStyle w:val="Compact"/>
        <w:numPr>
          <w:ilvl w:val="0"/>
          <w:numId w:val="1001"/>
        </w:numPr>
      </w:pPr>
      <w:r>
        <w:t xml:space="preserve">Constant-currency ARR growth and net-new ARR.</w:t>
      </w:r>
    </w:p>
    <w:p>
      <w:pPr>
        <w:pStyle w:val="Compact"/>
        <w:numPr>
          <w:ilvl w:val="0"/>
          <w:numId w:val="1001"/>
        </w:numPr>
      </w:pPr>
      <w:r>
        <w:t xml:space="preserve">Confidence in the expected Q4 acceleration.</w:t>
      </w:r>
    </w:p>
    <w:p>
      <w:pPr>
        <w:pStyle w:val="Compact"/>
        <w:numPr>
          <w:ilvl w:val="0"/>
          <w:numId w:val="1001"/>
        </w:numPr>
      </w:pPr>
      <w:r>
        <w:t xml:space="preserve">Evidence that the go-to-market restructuring is improving productivity.</w:t>
      </w:r>
    </w:p>
    <w:p>
      <w:pPr>
        <w:pStyle w:val="Compact"/>
        <w:numPr>
          <w:ilvl w:val="0"/>
          <w:numId w:val="1001"/>
        </w:numPr>
      </w:pPr>
      <w:r>
        <w:t xml:space="preserve">Fiscal 2027 commentary, particularly around deferred ARR.</w:t>
      </w:r>
    </w:p>
    <w:p>
      <w:pPr>
        <w:pStyle w:val="Compact"/>
        <w:numPr>
          <w:ilvl w:val="0"/>
          <w:numId w:val="1001"/>
        </w:numPr>
      </w:pPr>
      <w:r>
        <w:t xml:space="preserve">Whether recent AI product launches are creating incremental demand rather than merely strengthening the long-term product narrative.</w:t>
      </w:r>
    </w:p>
    <w:p>
      <w:pPr>
        <w:pStyle w:val="FirstParagraph"/>
      </w:pPr>
      <w:r>
        <w:t xml:space="preserve">PTC enters the report with depressed expectations. Shares closed around</w:t>
      </w:r>
      <w:r>
        <w:t xml:space="preserve"> </w:t>
      </w:r>
      <w:r>
        <w:rPr>
          <w:b/>
          <w:bCs/>
        </w:rPr>
        <w:t xml:space="preserve">$127.50 on July 28</w:t>
      </w:r>
      <w:r>
        <w:t xml:space="preserve">, roughly 7% below their May 6 pre-earnings close and approximately 37% below the beginning of fiscal 2026. That leaves room for a favorable reaction if management validates the second-half acceleration, but it also reflects meaningful investor skepticism.</w:t>
      </w:r>
    </w:p>
    <w:p>
      <w:r>
        <w:pict>
          <v:rect style="width:0;height:1.5pt" o:hralign="center" o:hrstd="t" o:hr="t"/>
        </w:pict>
      </w:r>
    </w:p>
    <w:bookmarkEnd w:id="10"/>
    <w:bookmarkStart w:id="13" w:name="the-numbers-to-know"/>
    <w:p>
      <w:pPr>
        <w:pStyle w:val="Heading2"/>
      </w:pPr>
      <w:r>
        <w:t xml:space="preserve">The numbers to know</w:t>
      </w:r>
    </w:p>
    <w:p>
      <w:pPr>
        <w:pStyle w:val="FirstParagraph"/>
      </w:pPr>
      <w:r>
        <w:t xml:space="preserve">PTC’s prior guidance and currently available public consensus estimates are summarized below. The Street figures sit close to the middle of management’s unusually wide revenue and EPS ranges. (</w:t>
      </w:r>
      <w:hyperlink r:id="rId11">
        <w:r>
          <w:rPr>
            <w:rStyle w:val="Hyperlink"/>
          </w:rPr>
          <w:t xml:space="preserve">investor.ptc.com</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PTC Q3 guidance</w:t>
            </w:r>
          </w:p>
        </w:tc>
        <w:tc>
          <w:tcPr/>
          <w:p>
            <w:pPr>
              <w:pStyle w:val="Compact"/>
              <w:jc w:val="right"/>
            </w:pPr>
            <w:r>
              <w:t xml:space="preserve">What would look good</w:t>
            </w:r>
          </w:p>
        </w:tc>
      </w:tr>
      <w:tr>
        <w:tc>
          <w:tcPr/>
          <w:p>
            <w:pPr>
              <w:pStyle w:val="Compact"/>
            </w:pPr>
            <w:r>
              <w:t xml:space="preserve">Constant-currency ARR growth, excluding divested businesses</w:t>
            </w:r>
          </w:p>
        </w:tc>
        <w:tc>
          <w:tcPr/>
          <w:p>
            <w:pPr>
              <w:pStyle w:val="Compact"/>
              <w:jc w:val="right"/>
            </w:pPr>
            <w:r>
              <w:rPr>
                <w:b/>
                <w:bCs/>
              </w:rPr>
              <w:t xml:space="preserve">8%–9%</w:t>
            </w:r>
          </w:p>
        </w:tc>
        <w:tc>
          <w:tcPr/>
          <w:p>
            <w:pPr>
              <w:pStyle w:val="Compact"/>
              <w:jc w:val="right"/>
            </w:pPr>
            <w:r>
              <w:t xml:space="preserve">At or above 9%</w:t>
            </w:r>
          </w:p>
        </w:tc>
      </w:tr>
      <w:tr>
        <w:tc>
          <w:tcPr/>
          <w:p>
            <w:pPr>
              <w:pStyle w:val="Compact"/>
            </w:pPr>
            <w:r>
              <w:t xml:space="preserve">Net-new ARR</w:t>
            </w:r>
          </w:p>
        </w:tc>
        <w:tc>
          <w:tcPr/>
          <w:p>
            <w:pPr>
              <w:pStyle w:val="Compact"/>
              <w:jc w:val="right"/>
            </w:pPr>
            <m:oMath>
              <m:r>
                <m:t>40</m:t>
              </m:r>
              <m:r>
                <m:t>M</m:t>
              </m:r>
              <m:r>
                <m:rPr>
                  <m:sty m:val="p"/>
                </m:rPr>
                <m:t>–</m:t>
              </m:r>
            </m:oMath>
            <w:r>
              <w:rPr>
                <w:b/>
                <w:bCs/>
              </w:rPr>
              <w:t xml:space="preserve">55M</w:t>
            </w:r>
          </w:p>
        </w:tc>
        <w:tc>
          <w:tcPr/>
          <w:p>
            <w:pPr>
              <w:pStyle w:val="Compact"/>
              <w:jc w:val="right"/>
            </w:pPr>
            <w:r>
              <w:t xml:space="preserve">Upper half of range</w:t>
            </w:r>
          </w:p>
        </w:tc>
      </w:tr>
      <w:tr>
        <w:tc>
          <w:tcPr/>
          <w:p>
            <w:pPr>
              <w:pStyle w:val="Compact"/>
            </w:pPr>
            <w:r>
              <w:t xml:space="preserve">Revenue</w:t>
            </w:r>
          </w:p>
        </w:tc>
        <w:tc>
          <w:tcPr/>
          <w:p>
            <w:pPr>
              <w:pStyle w:val="Compact"/>
              <w:jc w:val="right"/>
            </w:pPr>
            <m:oMath>
              <m:r>
                <m:t>580</m:t>
              </m:r>
              <m:r>
                <m:t>M</m:t>
              </m:r>
              <m:r>
                <m:rPr>
                  <m:sty m:val="p"/>
                </m:rPr>
                <m:t>–</m:t>
              </m:r>
            </m:oMath>
            <w:r>
              <w:rPr>
                <w:b/>
                <w:bCs/>
              </w:rPr>
              <w:t xml:space="preserve">640M</w:t>
            </w:r>
          </w:p>
        </w:tc>
        <w:tc>
          <w:tcPr/>
          <w:p>
            <w:pPr>
              <w:pStyle w:val="Compact"/>
              <w:jc w:val="right"/>
            </w:pPr>
            <w:r>
              <w:t xml:space="preserve">Public consensus: approximately</w:t>
            </w:r>
            <w:r>
              <w:t xml:space="preserve"> </w:t>
            </w:r>
            <w:r>
              <w:rPr>
                <w:b/>
                <w:bCs/>
              </w:rPr>
              <w:t xml:space="preserve">$614M</w:t>
            </w:r>
          </w:p>
        </w:tc>
      </w:tr>
      <w:tr>
        <w:tc>
          <w:tcPr/>
          <w:p>
            <w:pPr>
              <w:pStyle w:val="Compact"/>
            </w:pPr>
            <w:r>
              <w:t xml:space="preserve">Non-GAAP EPS</w:t>
            </w:r>
          </w:p>
        </w:tc>
        <w:tc>
          <w:tcPr/>
          <w:p>
            <w:pPr>
              <w:pStyle w:val="Compact"/>
              <w:jc w:val="right"/>
            </w:pPr>
            <m:oMath>
              <m:r>
                <m:t>1.24</m:t>
              </m:r>
              <m:r>
                <m:rPr>
                  <m:sty m:val="p"/>
                </m:rPr>
                <m:t>–</m:t>
              </m:r>
            </m:oMath>
            <w:r>
              <w:rPr>
                <w:b/>
                <w:bCs/>
              </w:rPr>
              <w:t xml:space="preserve">1.78</w:t>
            </w:r>
          </w:p>
        </w:tc>
        <w:tc>
          <w:tcPr/>
          <w:p>
            <w:pPr>
              <w:pStyle w:val="Compact"/>
              <w:jc w:val="right"/>
            </w:pPr>
            <w:r>
              <w:t xml:space="preserve">Public consensus: approximately</w:t>
            </w:r>
            <w:r>
              <w:t xml:space="preserve"> </w:t>
            </w:r>
            <w:r>
              <w:rPr>
                <w:b/>
                <w:bCs/>
              </w:rPr>
              <w:t xml:space="preserve">$1.49</w:t>
            </w:r>
          </w:p>
        </w:tc>
      </w:tr>
      <w:tr>
        <w:tc>
          <w:tcPr/>
          <w:p>
            <w:pPr>
              <w:pStyle w:val="Compact"/>
            </w:pPr>
            <w:r>
              <w:t xml:space="preserve">Operating cash flow</w:t>
            </w:r>
          </w:p>
        </w:tc>
        <w:tc>
          <w:tcPr/>
          <w:p>
            <w:pPr>
              <w:pStyle w:val="Compact"/>
              <w:jc w:val="right"/>
            </w:pPr>
            <m:oMath>
              <m:r>
                <m:t>255</m:t>
              </m:r>
              <m:r>
                <m:t>M</m:t>
              </m:r>
              <m:r>
                <m:rPr>
                  <m:sty m:val="p"/>
                </m:rPr>
                <m:t>–</m:t>
              </m:r>
            </m:oMath>
            <w:r>
              <w:rPr>
                <w:b/>
                <w:bCs/>
              </w:rPr>
              <w:t xml:space="preserve">260M</w:t>
            </w:r>
          </w:p>
        </w:tc>
        <w:tc>
          <w:tcPr/>
          <w:p>
            <w:pPr>
              <w:pStyle w:val="Compact"/>
              <w:jc w:val="right"/>
            </w:pPr>
            <w:r>
              <w:t xml:space="preserve">At least $260M</w:t>
            </w:r>
          </w:p>
        </w:tc>
      </w:tr>
      <w:tr>
        <w:tc>
          <w:tcPr/>
          <w:p>
            <w:pPr>
              <w:pStyle w:val="Compact"/>
            </w:pPr>
            <w:r>
              <w:t xml:space="preserve">Free cash flow</w:t>
            </w:r>
          </w:p>
        </w:tc>
        <w:tc>
          <w:tcPr/>
          <w:p>
            <w:pPr>
              <w:pStyle w:val="Compact"/>
              <w:jc w:val="right"/>
            </w:pPr>
            <m:oMath>
              <m:r>
                <m:t>240</m:t>
              </m:r>
              <m:r>
                <m:t>M</m:t>
              </m:r>
              <m:r>
                <m:rPr>
                  <m:sty m:val="p"/>
                </m:rPr>
                <m:t>–</m:t>
              </m:r>
            </m:oMath>
            <w:r>
              <w:rPr>
                <w:b/>
                <w:bCs/>
              </w:rPr>
              <w:t xml:space="preserve">245M</w:t>
            </w:r>
          </w:p>
        </w:tc>
        <w:tc>
          <w:tcPr/>
          <w:p>
            <w:pPr>
              <w:pStyle w:val="Compact"/>
              <w:jc w:val="right"/>
            </w:pPr>
            <w:r>
              <w:t xml:space="preserve">At least $245M</w:t>
            </w:r>
          </w:p>
        </w:tc>
      </w:tr>
      <w:tr>
        <w:tc>
          <w:tcPr/>
          <w:p>
            <w:pPr>
              <w:pStyle w:val="Compact"/>
            </w:pPr>
            <w:r>
              <w:t xml:space="preserve">Diluted share count</w:t>
            </w:r>
          </w:p>
        </w:tc>
        <w:tc>
          <w:tcPr/>
          <w:p>
            <w:pPr>
              <w:pStyle w:val="Compact"/>
              <w:jc w:val="right"/>
            </w:pPr>
            <w:r>
              <w:rPr>
                <w:b/>
                <w:bCs/>
              </w:rPr>
              <w:t xml:space="preserve">115M–116M</w:t>
            </w:r>
          </w:p>
        </w:tc>
        <w:tc>
          <w:tcPr/>
          <w:p>
            <w:pPr>
              <w:pStyle w:val="Compact"/>
              <w:jc w:val="right"/>
            </w:pPr>
            <w:r>
              <w:t xml:space="preserve">Consistent with buyback plan</w:t>
            </w:r>
          </w:p>
        </w:tc>
      </w:tr>
    </w:tbl>
    <w:bookmarkStart w:id="12" w:name="full-year-guidance-entering-the-report"/>
    <w:p>
      <w:pPr>
        <w:pStyle w:val="Heading3"/>
      </w:pPr>
      <w:r>
        <w:t xml:space="preserve">Full-year guidance entering the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Constant-currency ARR growth, excluding divestitures</w:t>
            </w:r>
          </w:p>
        </w:tc>
        <w:tc>
          <w:tcPr/>
          <w:p>
            <w:pPr>
              <w:pStyle w:val="Compact"/>
              <w:jc w:val="right"/>
            </w:pPr>
            <w:r>
              <w:rPr>
                <w:b/>
                <w:bCs/>
              </w:rPr>
              <w:t xml:space="preserve">7.5%–9.5%</w:t>
            </w:r>
          </w:p>
        </w:tc>
      </w:tr>
      <w:tr>
        <w:tc>
          <w:tcPr/>
          <w:p>
            <w:pPr>
              <w:pStyle w:val="Compact"/>
            </w:pPr>
            <w:r>
              <w:t xml:space="preserve">Free cash flow</w:t>
            </w:r>
          </w:p>
        </w:tc>
        <w:tc>
          <w:tcPr/>
          <w:p>
            <w:pPr>
              <w:pStyle w:val="Compact"/>
              <w:jc w:val="right"/>
            </w:pPr>
            <w:r>
              <w:rPr>
                <w:b/>
                <w:bCs/>
              </w:rPr>
              <w:t xml:space="preserve">Approximately $850M</w:t>
            </w:r>
          </w:p>
        </w:tc>
      </w:tr>
      <w:tr>
        <w:tc>
          <w:tcPr/>
          <w:p>
            <w:pPr>
              <w:pStyle w:val="Compact"/>
            </w:pPr>
            <w:r>
              <w:t xml:space="preserve">Revenue</w:t>
            </w:r>
          </w:p>
        </w:tc>
        <w:tc>
          <w:tcPr/>
          <w:p>
            <w:pPr>
              <w:pStyle w:val="Compact"/>
              <w:jc w:val="right"/>
            </w:pPr>
            <m:oMath>
              <m:r>
                <m:t>2.58</m:t>
              </m:r>
              <m:r>
                <m:t>B</m:t>
              </m:r>
              <m:r>
                <m:rPr>
                  <m:sty m:val="p"/>
                </m:rPr>
                <m:t>–</m:t>
              </m:r>
            </m:oMath>
            <w:r>
              <w:rPr>
                <w:b/>
                <w:bCs/>
              </w:rPr>
              <w:t xml:space="preserve">2.82B</w:t>
            </w:r>
          </w:p>
        </w:tc>
      </w:tr>
      <w:tr>
        <w:tc>
          <w:tcPr/>
          <w:p>
            <w:pPr>
              <w:pStyle w:val="Compact"/>
            </w:pPr>
            <w:r>
              <w:t xml:space="preserve">Non-GAAP EPS</w:t>
            </w:r>
          </w:p>
        </w:tc>
        <w:tc>
          <w:tcPr/>
          <w:p>
            <w:pPr>
              <w:pStyle w:val="Compact"/>
              <w:jc w:val="right"/>
            </w:pPr>
            <m:oMath>
              <m:r>
                <m:t>6.65</m:t>
              </m:r>
              <m:r>
                <m:rPr>
                  <m:sty m:val="p"/>
                </m:rPr>
                <m:t>–</m:t>
              </m:r>
            </m:oMath>
            <w:r>
              <w:rPr>
                <w:b/>
                <w:bCs/>
              </w:rPr>
              <w:t xml:space="preserve">8.90</w:t>
            </w:r>
          </w:p>
        </w:tc>
      </w:tr>
      <w:tr>
        <w:tc>
          <w:tcPr/>
          <w:p>
            <w:pPr>
              <w:pStyle w:val="Compact"/>
            </w:pPr>
            <w:r>
              <w:t xml:space="preserve">Planned share repurchases</w:t>
            </w:r>
          </w:p>
        </w:tc>
        <w:tc>
          <w:tcPr/>
          <w:p>
            <w:pPr>
              <w:pStyle w:val="Compact"/>
              <w:jc w:val="right"/>
            </w:pPr>
            <m:oMath>
              <m:r>
                <m:t>1.225</m:t>
              </m:r>
              <m:r>
                <m:t>B</m:t>
              </m:r>
              <m:r>
                <m:rPr>
                  <m:sty m:val="p"/>
                </m:rPr>
                <m:t>–</m:t>
              </m:r>
            </m:oMath>
            <w:r>
              <w:rPr>
                <w:b/>
                <w:bCs/>
              </w:rPr>
              <w:t xml:space="preserve">1.325B</w:t>
            </w:r>
          </w:p>
        </w:tc>
      </w:tr>
    </w:tbl>
    <w:p>
      <w:pPr>
        <w:pStyle w:val="BodyText"/>
      </w:pPr>
      <w:r>
        <w:t xml:space="preserve">The ranges for revenue and EPS are wider and less informative than ARR because ASC 606 results depend heavily on the value, timing, duration, and deployment model of contracts beginning during the quarter. Q2 revenue, for example, benefited from several longer-duration renewals.</w:t>
      </w:r>
    </w:p>
    <w:p>
      <w:r>
        <w:pict>
          <v:rect style="width:0;height:1.5pt" o:hralign="center" o:hrstd="t" o:hr="t"/>
        </w:pict>
      </w:r>
    </w:p>
    <w:bookmarkEnd w:id="12"/>
    <w:bookmarkEnd w:id="13"/>
    <w:bookmarkStart w:id="17" w:name="X274873009d8a8120a1b08c39bca7c30fbe47ab5"/>
    <w:p>
      <w:pPr>
        <w:pStyle w:val="Heading2"/>
      </w:pPr>
      <w:r>
        <w:t xml:space="preserve">The central question: Is the Q4 ARR acceleration intact?</w:t>
      </w:r>
    </w:p>
    <w:p>
      <w:pPr>
        <w:pStyle w:val="FirstParagraph"/>
      </w:pPr>
      <w:r>
        <w:t xml:space="preserve">PTC finished Q2 with</w:t>
      </w:r>
      <w:r>
        <w:t xml:space="preserve"> </w:t>
      </w:r>
      <w:r>
        <w:rPr>
          <w:b/>
          <w:bCs/>
        </w:rPr>
        <w:t xml:space="preserve">$2.388 billion of constant-currency ARR</w:t>
      </w:r>
      <w:r>
        <w:t xml:space="preserve">, excluding Kepware and ThingWorx, representing</w:t>
      </w:r>
      <w:r>
        <w:t xml:space="preserve"> </w:t>
      </w:r>
      <w:r>
        <w:rPr>
          <w:b/>
          <w:bCs/>
        </w:rPr>
        <w:t xml:space="preserve">8.5% growth</w:t>
      </w:r>
      <w:r>
        <w:t xml:space="preserve"> </w:t>
      </w:r>
      <w:r>
        <w:t xml:space="preserve">and landing at the high end of guidance. Management then guided Q3 to 8%–9% ARR growth and</w:t>
      </w:r>
      <w:r>
        <w:t xml:space="preserve"> </w:t>
      </w:r>
      <m:oMath>
        <m:r>
          <m:t>40</m:t>
        </m:r>
        <m:r>
          <m:t>m</m:t>
        </m:r>
        <m:r>
          <m:t>i</m:t>
        </m:r>
        <m:r>
          <m:t>l</m:t>
        </m:r>
        <m:r>
          <m:t>l</m:t>
        </m:r>
        <m:r>
          <m:t>i</m:t>
        </m:r>
        <m:r>
          <m:t>o</m:t>
        </m:r>
        <m:r>
          <m:t>n</m:t>
        </m:r>
        <m:r>
          <m:rPr>
            <m:sty m:val="p"/>
          </m:rPr>
          <m:t>–</m:t>
        </m:r>
      </m:oMath>
      <w:r>
        <w:t xml:space="preserve">55 million of net-new ARR. (</w:t>
      </w:r>
      <w:hyperlink r:id="rId14">
        <w:r>
          <w:rPr>
            <w:rStyle w:val="Hyperlink"/>
          </w:rPr>
          <w:t xml:space="preserve">ptc.com</w:t>
        </w:r>
      </w:hyperlink>
      <w:r>
        <w:t xml:space="preserve">)</w:t>
      </w:r>
    </w:p>
    <w:p>
      <w:pPr>
        <w:pStyle w:val="BodyText"/>
      </w:pPr>
      <w:r>
        <w:t xml:space="preserve">The more important promise was that:</w:t>
      </w:r>
    </w:p>
    <w:p>
      <w:pPr>
        <w:pStyle w:val="Compact"/>
        <w:numPr>
          <w:ilvl w:val="0"/>
          <w:numId w:val="1002"/>
        </w:numPr>
      </w:pPr>
      <w:r>
        <w:t xml:space="preserve">Q3 net-new ARR would grow year over year.</w:t>
      </w:r>
    </w:p>
    <w:p>
      <w:pPr>
        <w:pStyle w:val="Compact"/>
        <w:numPr>
          <w:ilvl w:val="0"/>
          <w:numId w:val="1002"/>
        </w:numPr>
      </w:pPr>
      <w:r>
        <w:t xml:space="preserve">Q4 would produce a substantially larger increase.</w:t>
      </w:r>
    </w:p>
    <w:p>
      <w:pPr>
        <w:pStyle w:val="Compact"/>
        <w:numPr>
          <w:ilvl w:val="0"/>
          <w:numId w:val="1002"/>
        </w:numPr>
      </w:pPr>
      <w:r>
        <w:t xml:space="preserve">Deferred ARR already contracted for future commencement dates would support the Q4 step-up and improve fiscal 2027 growth.</w:t>
      </w:r>
    </w:p>
    <w:p>
      <w:pPr>
        <w:pStyle w:val="FirstParagraph"/>
      </w:pPr>
      <w:r>
        <w:t xml:space="preserve">Management framed second-half net-new ARR at approximately</w:t>
      </w:r>
      <w:r>
        <w:t xml:space="preserve"> </w:t>
      </w:r>
      <w:r>
        <w:rPr>
          <w:b/>
          <w:bCs/>
        </w:rPr>
        <w:t xml:space="preserve">$127 million</w:t>
      </w:r>
      <w:r>
        <w:t xml:space="preserve"> </w:t>
      </w:r>
      <w:r>
        <w:t xml:space="preserve">around the full-year midpoint. After the</w:t>
      </w:r>
      <w:r>
        <w:t xml:space="preserve"> </w:t>
      </w:r>
      <m:oMath>
        <m:r>
          <m:t>40</m:t>
        </m:r>
        <m:r>
          <m:t>m</m:t>
        </m:r>
        <m:r>
          <m:t>i</m:t>
        </m:r>
        <m:r>
          <m:t>l</m:t>
        </m:r>
        <m:r>
          <m:t>l</m:t>
        </m:r>
        <m:r>
          <m:t>i</m:t>
        </m:r>
        <m:r>
          <m:t>o</m:t>
        </m:r>
        <m:r>
          <m:t>n</m:t>
        </m:r>
        <m:r>
          <m:rPr>
            <m:sty m:val="p"/>
          </m:rPr>
          <m:t>–</m:t>
        </m:r>
      </m:oMath>
      <w:r>
        <w:t xml:space="preserve">55 million Q3 target, that implies approximately</w:t>
      </w:r>
      <w:r>
        <w:t xml:space="preserve"> </w:t>
      </w:r>
      <m:oMath>
        <m:r>
          <m:t>72</m:t>
        </m:r>
        <m:r>
          <m:t>m</m:t>
        </m:r>
        <m:r>
          <m:t>i</m:t>
        </m:r>
        <m:r>
          <m:t>l</m:t>
        </m:r>
        <m:r>
          <m:t>l</m:t>
        </m:r>
        <m:r>
          <m:t>i</m:t>
        </m:r>
        <m:r>
          <m:t>o</m:t>
        </m:r>
        <m:r>
          <m:t>n</m:t>
        </m:r>
        <m:r>
          <m:rPr>
            <m:sty m:val="p"/>
          </m:rPr>
          <m:t>–</m:t>
        </m:r>
      </m:oMath>
      <w:r>
        <w:rPr>
          <w:b/>
          <w:bCs/>
        </w:rPr>
        <w:t xml:space="preserve">87 million in Q4</w:t>
      </w:r>
      <w:r>
        <w:t xml:space="preserve">.</w:t>
      </w:r>
    </w:p>
    <w:p>
      <w:pPr>
        <w:pStyle w:val="BodyText"/>
      </w:pPr>
      <w:r>
        <w:t xml:space="preserve">That makes Q3 less about a standalone beat and more about whether management preserves confidence in that Q4 bridge.</w:t>
      </w:r>
    </w:p>
    <w:bookmarkStart w:id="15" w:name="constructive-result"/>
    <w:p>
      <w:pPr>
        <w:pStyle w:val="Heading3"/>
      </w:pPr>
      <w:r>
        <w:t xml:space="preserve">Constructive result</w:t>
      </w:r>
    </w:p>
    <w:p>
      <w:pPr>
        <w:pStyle w:val="Compact"/>
        <w:numPr>
          <w:ilvl w:val="0"/>
          <w:numId w:val="1003"/>
        </w:numPr>
      </w:pPr>
      <w:r>
        <w:t xml:space="preserve">ARR growth reaches approximately 9%.</w:t>
      </w:r>
    </w:p>
    <w:p>
      <w:pPr>
        <w:pStyle w:val="Compact"/>
        <w:numPr>
          <w:ilvl w:val="0"/>
          <w:numId w:val="1003"/>
        </w:numPr>
      </w:pPr>
      <w:r>
        <w:t xml:space="preserve">Net-new ARR lands above $50 million.</w:t>
      </w:r>
    </w:p>
    <w:p>
      <w:pPr>
        <w:pStyle w:val="Compact"/>
        <w:numPr>
          <w:ilvl w:val="0"/>
          <w:numId w:val="1003"/>
        </w:numPr>
      </w:pPr>
      <w:r>
        <w:t xml:space="preserve">Deferred ARR visibility improves or remains intact.</w:t>
      </w:r>
    </w:p>
    <w:p>
      <w:pPr>
        <w:pStyle w:val="Compact"/>
        <w:numPr>
          <w:ilvl w:val="0"/>
          <w:numId w:val="1003"/>
        </w:numPr>
      </w:pPr>
      <w:r>
        <w:t xml:space="preserve">Management reiterates that fiscal 2027 growth should improve even without further gains in sales productivity.</w:t>
      </w:r>
    </w:p>
    <w:bookmarkEnd w:id="15"/>
    <w:bookmarkStart w:id="16" w:name="concerning-result"/>
    <w:p>
      <w:pPr>
        <w:pStyle w:val="Heading3"/>
      </w:pPr>
      <w:r>
        <w:t xml:space="preserve">Concerning result</w:t>
      </w:r>
    </w:p>
    <w:p>
      <w:pPr>
        <w:pStyle w:val="Compact"/>
        <w:numPr>
          <w:ilvl w:val="0"/>
          <w:numId w:val="1004"/>
        </w:numPr>
      </w:pPr>
      <w:r>
        <w:t xml:space="preserve">ARR growth lands near or below 8%.</w:t>
      </w:r>
    </w:p>
    <w:p>
      <w:pPr>
        <w:pStyle w:val="Compact"/>
        <w:numPr>
          <w:ilvl w:val="0"/>
          <w:numId w:val="1004"/>
        </w:numPr>
      </w:pPr>
      <w:r>
        <w:t xml:space="preserve">Net-new ARR misses $40 million.</w:t>
      </w:r>
    </w:p>
    <w:p>
      <w:pPr>
        <w:pStyle w:val="Compact"/>
        <w:numPr>
          <w:ilvl w:val="0"/>
          <w:numId w:val="1004"/>
        </w:numPr>
      </w:pPr>
      <w:r>
        <w:t xml:space="preserve">Management becomes less explicit about Q4 start dates, deferred ARR, or the fiscal 2027 setup.</w:t>
      </w:r>
    </w:p>
    <w:p>
      <w:pPr>
        <w:pStyle w:val="Compact"/>
        <w:numPr>
          <w:ilvl w:val="0"/>
          <w:numId w:val="1004"/>
        </w:numPr>
      </w:pPr>
      <w:r>
        <w:t xml:space="preserve">The full-year ARR range remains unchanged but commentary suggests a result concentrated near the bottom.</w:t>
      </w:r>
    </w:p>
    <w:p>
      <w:pPr>
        <w:pStyle w:val="FirstParagraph"/>
      </w:pPr>
      <w:r>
        <w:t xml:space="preserve">A nominal guidance reiteration would not necessarily be enough. Investors will want evidence that the</w:t>
      </w:r>
      <w:r>
        <w:t xml:space="preserve"> </w:t>
      </w:r>
      <w:r>
        <w:rPr>
          <w:b/>
          <w:bCs/>
        </w:rPr>
        <w:t xml:space="preserve">quality and timing of the ARR pipeline</w:t>
      </w:r>
      <w:r>
        <w:t xml:space="preserve"> </w:t>
      </w:r>
      <w:r>
        <w:t xml:space="preserve">have not deteriorated.</w:t>
      </w:r>
    </w:p>
    <w:p>
      <w:r>
        <w:pict>
          <v:rect style="width:0;height:1.5pt" o:hralign="center" o:hrstd="t" o:hr="t"/>
        </w:pict>
      </w:r>
    </w:p>
    <w:bookmarkEnd w:id="16"/>
    <w:bookmarkEnd w:id="17"/>
    <w:bookmarkStart w:id="18" w:name="Xe3265c19cc430e6854672e8b44be572f028b254"/>
    <w:p>
      <w:pPr>
        <w:pStyle w:val="Heading2"/>
      </w:pPr>
      <w:r>
        <w:t xml:space="preserve">Go-to-market execution is the real operating catalyst</w:t>
      </w:r>
    </w:p>
    <w:p>
      <w:pPr>
        <w:pStyle w:val="FirstParagraph"/>
      </w:pPr>
      <w:r>
        <w:t xml:space="preserve">PTC has spent roughly the past year and a half reorganizing its sales organization around vertical expertise, changing coverage, improving renewal execution, and focusing resources on larger strategic opportunities.</w:t>
      </w:r>
    </w:p>
    <w:p>
      <w:pPr>
        <w:pStyle w:val="BodyText"/>
      </w:pPr>
      <w:r>
        <w:t xml:space="preserve">Last quarter management reported:</w:t>
      </w:r>
    </w:p>
    <w:p>
      <w:pPr>
        <w:pStyle w:val="Compact"/>
        <w:numPr>
          <w:ilvl w:val="0"/>
          <w:numId w:val="1005"/>
        </w:numPr>
      </w:pPr>
      <w:r>
        <w:t xml:space="preserve">Better representative productivity.</w:t>
      </w:r>
    </w:p>
    <w:p>
      <w:pPr>
        <w:pStyle w:val="Compact"/>
        <w:numPr>
          <w:ilvl w:val="0"/>
          <w:numId w:val="1005"/>
        </w:numPr>
      </w:pPr>
      <w:r>
        <w:t xml:space="preserve">Improving renewal rates.</w:t>
      </w:r>
    </w:p>
    <w:p>
      <w:pPr>
        <w:pStyle w:val="Compact"/>
        <w:numPr>
          <w:ilvl w:val="0"/>
          <w:numId w:val="1005"/>
        </w:numPr>
      </w:pPr>
      <w:r>
        <w:t xml:space="preserve">A larger, higher-quality pipeline.</w:t>
      </w:r>
    </w:p>
    <w:p>
      <w:pPr>
        <w:pStyle w:val="Compact"/>
        <w:numPr>
          <w:ilvl w:val="0"/>
          <w:numId w:val="1005"/>
        </w:numPr>
      </w:pPr>
      <w:r>
        <w:t xml:space="preserve">Better demand capture across geographies and products.</w:t>
      </w:r>
    </w:p>
    <w:p>
      <w:pPr>
        <w:pStyle w:val="Compact"/>
        <w:numPr>
          <w:ilvl w:val="0"/>
          <w:numId w:val="1005"/>
        </w:numPr>
      </w:pPr>
      <w:r>
        <w:t xml:space="preserve">More competitive displacement wins.</w:t>
      </w:r>
    </w:p>
    <w:p>
      <w:pPr>
        <w:pStyle w:val="FirstParagraph"/>
      </w:pPr>
      <w:r>
        <w:t xml:space="preserve">This quarter should show whether those indicators are beginning to convert into reported ARR. Investors should listen closely for quantitative or directional commentary on:</w:t>
      </w:r>
    </w:p>
    <w:p>
      <w:pPr>
        <w:pStyle w:val="Compact"/>
        <w:numPr>
          <w:ilvl w:val="0"/>
          <w:numId w:val="1006"/>
        </w:numPr>
      </w:pPr>
      <w:r>
        <w:t xml:space="preserve">Sales-cycle length.</w:t>
      </w:r>
    </w:p>
    <w:p>
      <w:pPr>
        <w:pStyle w:val="Compact"/>
        <w:numPr>
          <w:ilvl w:val="0"/>
          <w:numId w:val="1006"/>
        </w:numPr>
      </w:pPr>
      <w:r>
        <w:t xml:space="preserve">Close rates.</w:t>
      </w:r>
    </w:p>
    <w:p>
      <w:pPr>
        <w:pStyle w:val="Compact"/>
        <w:numPr>
          <w:ilvl w:val="0"/>
          <w:numId w:val="1006"/>
        </w:numPr>
      </w:pPr>
      <w:r>
        <w:t xml:space="preserve">Large-deal scrutiny and approval processes.</w:t>
      </w:r>
    </w:p>
    <w:p>
      <w:pPr>
        <w:pStyle w:val="Compact"/>
        <w:numPr>
          <w:ilvl w:val="0"/>
          <w:numId w:val="1006"/>
        </w:numPr>
      </w:pPr>
      <w:r>
        <w:t xml:space="preserve">Renewal rates and churn.</w:t>
      </w:r>
    </w:p>
    <w:p>
      <w:pPr>
        <w:pStyle w:val="Compact"/>
        <w:numPr>
          <w:ilvl w:val="0"/>
          <w:numId w:val="1006"/>
        </w:numPr>
      </w:pPr>
      <w:r>
        <w:t xml:space="preserve">Pipeline growth relative to the prior year.</w:t>
      </w:r>
    </w:p>
    <w:p>
      <w:pPr>
        <w:pStyle w:val="Compact"/>
        <w:numPr>
          <w:ilvl w:val="0"/>
          <w:numId w:val="1006"/>
        </w:numPr>
      </w:pPr>
      <w:r>
        <w:t xml:space="preserve">Performance by region and industry.</w:t>
      </w:r>
    </w:p>
    <w:p>
      <w:pPr>
        <w:pStyle w:val="Compact"/>
        <w:numPr>
          <w:ilvl w:val="0"/>
          <w:numId w:val="1006"/>
        </w:numPr>
      </w:pPr>
      <w:r>
        <w:t xml:space="preserve">Whether deferred ARR is coming from a few large contracts or a broad set of products and customers.</w:t>
      </w:r>
    </w:p>
    <w:p>
      <w:pPr>
        <w:pStyle w:val="FirstParagraph"/>
      </w:pPr>
      <w:r>
        <w:t xml:space="preserve">Management previously identified</w:t>
      </w:r>
      <w:r>
        <w:t xml:space="preserve"> </w:t>
      </w:r>
      <w:r>
        <w:rPr>
          <w:b/>
          <w:bCs/>
        </w:rPr>
        <w:t xml:space="preserve">electronics and high tech</w:t>
      </w:r>
      <w:r>
        <w:t xml:space="preserve">,</w:t>
      </w:r>
      <w:r>
        <w:t xml:space="preserve"> </w:t>
      </w:r>
      <w:r>
        <w:rPr>
          <w:b/>
          <w:bCs/>
        </w:rPr>
        <w:t xml:space="preserve">federal/aerospace and defense</w:t>
      </w:r>
      <w:r>
        <w:t xml:space="preserve">, and selected automotive applications as areas of strength. The macro environment remains a risk, particularly given PTC’s exposure to global manufacturing and Europe, but recent industrial earnings have generally suggested a healthy demand backdrop.</w:t>
      </w:r>
    </w:p>
    <w:p>
      <w:r>
        <w:pict>
          <v:rect style="width:0;height:1.5pt" o:hralign="center" o:hrstd="t" o:hr="t"/>
        </w:pict>
      </w:r>
    </w:p>
    <w:bookmarkEnd w:id="18"/>
    <w:bookmarkStart w:id="22" w:name="product-level-indicators"/>
    <w:p>
      <w:pPr>
        <w:pStyle w:val="Heading2"/>
      </w:pPr>
      <w:r>
        <w:t xml:space="preserve">Product-level indicators</w:t>
      </w:r>
    </w:p>
    <w:bookmarkStart w:id="19" w:name="X60753eaaf50480aeb88b83e49762addd3344d44"/>
    <w:p>
      <w:pPr>
        <w:pStyle w:val="Heading3"/>
      </w:pPr>
      <w:r>
        <w:t xml:space="preserve">1. Windchill and Codebeamer should lead PLM</w:t>
      </w:r>
    </w:p>
    <w:p>
      <w:pPr>
        <w:pStyle w:val="FirstParagraph"/>
      </w:pPr>
      <w:r>
        <w:t xml:space="preserve">Excluding the divested Kepware and ThingWorx businesses, Q2 PLM ARR grew approximately</w:t>
      </w:r>
      <w:r>
        <w:t xml:space="preserve"> </w:t>
      </w:r>
      <w:r>
        <w:rPr>
          <w:b/>
          <w:bCs/>
        </w:rPr>
        <w:t xml:space="preserve">9% in constant currency</w:t>
      </w:r>
      <w:r>
        <w:t xml:space="preserve">, primarily driven by Windchill and Codebeamer.</w:t>
      </w:r>
    </w:p>
    <w:p>
      <w:pPr>
        <w:pStyle w:val="BodyText"/>
      </w:pPr>
      <w:r>
        <w:t xml:space="preserve">The most relevant questions are:</w:t>
      </w:r>
    </w:p>
    <w:p>
      <w:pPr>
        <w:pStyle w:val="Compact"/>
        <w:numPr>
          <w:ilvl w:val="0"/>
          <w:numId w:val="1007"/>
        </w:numPr>
      </w:pPr>
      <w:r>
        <w:t xml:space="preserve">Is Windchill+ winning new customers and competitive replacements?</w:t>
      </w:r>
    </w:p>
    <w:p>
      <w:pPr>
        <w:pStyle w:val="Compact"/>
        <w:numPr>
          <w:ilvl w:val="0"/>
          <w:numId w:val="1007"/>
        </w:numPr>
      </w:pPr>
      <w:r>
        <w:t xml:space="preserve">Are existing on-premise customers expanding before eventually migrating to SaaS?</w:t>
      </w:r>
    </w:p>
    <w:p>
      <w:pPr>
        <w:pStyle w:val="Compact"/>
        <w:numPr>
          <w:ilvl w:val="0"/>
          <w:numId w:val="1007"/>
        </w:numPr>
      </w:pPr>
      <w:r>
        <w:t xml:space="preserve">Is Codebeamer maintaining momentum in complex, software-defined products?</w:t>
      </w:r>
    </w:p>
    <w:p>
      <w:pPr>
        <w:pStyle w:val="Compact"/>
        <w:numPr>
          <w:ilvl w:val="0"/>
          <w:numId w:val="1007"/>
        </w:numPr>
      </w:pPr>
      <w:r>
        <w:t xml:space="preserve">Are PLM wins becoming larger or commencing more quickly?</w:t>
      </w:r>
    </w:p>
    <w:p>
      <w:pPr>
        <w:pStyle w:val="FirstParagraph"/>
      </w:pPr>
      <w:r>
        <w:t xml:space="preserve">Management has described Windchill+ demand as predominantly net-new and has highlighted competitive displacement opportunities. Another quarter of PLM acceleration would support the argument that PTC is taking share rather than simply harvesting its installed base.</w:t>
      </w:r>
    </w:p>
    <w:bookmarkEnd w:id="19"/>
    <w:bookmarkStart w:id="20" w:name="X687edbdd6431b7a47c367b30db92480163ac4e9"/>
    <w:p>
      <w:pPr>
        <w:pStyle w:val="Heading3"/>
      </w:pPr>
      <w:r>
        <w:t xml:space="preserve">2. CAD momentum needs to remain durable</w:t>
      </w:r>
    </w:p>
    <w:p>
      <w:pPr>
        <w:pStyle w:val="FirstParagraph"/>
      </w:pPr>
      <w:r>
        <w:t xml:space="preserve">Q2 CAD ARR grew approximately</w:t>
      </w:r>
      <w:r>
        <w:t xml:space="preserve"> </w:t>
      </w:r>
      <w:r>
        <w:rPr>
          <w:b/>
          <w:bCs/>
        </w:rPr>
        <w:t xml:space="preserve">8% in constant currency</w:t>
      </w:r>
      <w:r>
        <w:t xml:space="preserve">, primarily from Creo, while management also described strong momentum in Onshape.</w:t>
      </w:r>
    </w:p>
    <w:p>
      <w:pPr>
        <w:pStyle w:val="BodyText"/>
      </w:pPr>
      <w:r>
        <w:t xml:space="preserve">Onshape is especially important because it gives PTC exposure to:</w:t>
      </w:r>
    </w:p>
    <w:p>
      <w:pPr>
        <w:pStyle w:val="Compact"/>
        <w:numPr>
          <w:ilvl w:val="0"/>
          <w:numId w:val="1008"/>
        </w:numPr>
      </w:pPr>
      <w:r>
        <w:t xml:space="preserve">Cloud-native product development.</w:t>
      </w:r>
    </w:p>
    <w:p>
      <w:pPr>
        <w:pStyle w:val="Compact"/>
        <w:numPr>
          <w:ilvl w:val="0"/>
          <w:numId w:val="1008"/>
        </w:numPr>
      </w:pPr>
      <w:r>
        <w:t xml:space="preserve">Robotics and automation.</w:t>
      </w:r>
    </w:p>
    <w:p>
      <w:pPr>
        <w:pStyle w:val="Compact"/>
        <w:numPr>
          <w:ilvl w:val="0"/>
          <w:numId w:val="1008"/>
        </w:numPr>
      </w:pPr>
      <w:r>
        <w:t xml:space="preserve">Physical AI.</w:t>
      </w:r>
    </w:p>
    <w:p>
      <w:pPr>
        <w:pStyle w:val="Compact"/>
        <w:numPr>
          <w:ilvl w:val="0"/>
          <w:numId w:val="1008"/>
        </w:numPr>
      </w:pPr>
      <w:r>
        <w:t xml:space="preserve">Smaller and newer engineering organizations.</w:t>
      </w:r>
    </w:p>
    <w:p>
      <w:pPr>
        <w:pStyle w:val="Compact"/>
        <w:numPr>
          <w:ilvl w:val="0"/>
          <w:numId w:val="1008"/>
        </w:numPr>
      </w:pPr>
      <w:r>
        <w:t xml:space="preserve">Competitive replacements of legacy desktop tools.</w:t>
      </w:r>
    </w:p>
    <w:p>
      <w:pPr>
        <w:pStyle w:val="FirstParagraph"/>
      </w:pPr>
      <w:r>
        <w:t xml:space="preserve">Investors should look for evidence that Onshape’s reported strength is large enough to influence consolidated growth rather than remaining an attractive but relatively small part of PTC.</w:t>
      </w:r>
    </w:p>
    <w:bookmarkEnd w:id="20"/>
    <w:bookmarkStart w:id="21" w:name="X20d75c92a972a3f87cd770029347f5e13d2ba88"/>
    <w:p>
      <w:pPr>
        <w:pStyle w:val="Heading3"/>
      </w:pPr>
      <w:r>
        <w:t xml:space="preserve">3. ServiceMax stabilization</w:t>
      </w:r>
    </w:p>
    <w:p>
      <w:pPr>
        <w:pStyle w:val="FirstParagraph"/>
      </w:pPr>
      <w:r>
        <w:t xml:space="preserve">Management said last quarter that the largest period of ServiceMax-related churn was likely behind the company, although it stopped short of declaring the issue fully resolved.</w:t>
      </w:r>
    </w:p>
    <w:p>
      <w:pPr>
        <w:pStyle w:val="BodyText"/>
      </w:pPr>
      <w:r>
        <w:t xml:space="preserve">A cleaner ServiceMax quarter would remove an important drag on portfolio growth. Watch for:</w:t>
      </w:r>
    </w:p>
    <w:p>
      <w:pPr>
        <w:pStyle w:val="Compact"/>
        <w:numPr>
          <w:ilvl w:val="0"/>
          <w:numId w:val="1009"/>
        </w:numPr>
      </w:pPr>
      <w:r>
        <w:t xml:space="preserve">Renewal and churn commentary.</w:t>
      </w:r>
    </w:p>
    <w:p>
      <w:pPr>
        <w:pStyle w:val="Compact"/>
        <w:numPr>
          <w:ilvl w:val="0"/>
          <w:numId w:val="1009"/>
        </w:numPr>
      </w:pPr>
      <w:r>
        <w:t xml:space="preserve">Pipeline conversion.</w:t>
      </w:r>
    </w:p>
    <w:p>
      <w:pPr>
        <w:pStyle w:val="Compact"/>
        <w:numPr>
          <w:ilvl w:val="0"/>
          <w:numId w:val="1009"/>
        </w:numPr>
      </w:pPr>
      <w:r>
        <w:t xml:space="preserve">Cross-selling with PLM.</w:t>
      </w:r>
    </w:p>
    <w:p>
      <w:pPr>
        <w:pStyle w:val="Compact"/>
        <w:numPr>
          <w:ilvl w:val="0"/>
          <w:numId w:val="1009"/>
        </w:numPr>
      </w:pPr>
      <w:r>
        <w:t xml:space="preserve">Adoption of ServiceMax AI capabilities.</w:t>
      </w:r>
    </w:p>
    <w:p>
      <w:pPr>
        <w:pStyle w:val="Compact"/>
        <w:numPr>
          <w:ilvl w:val="0"/>
          <w:numId w:val="1009"/>
        </w:numPr>
      </w:pPr>
      <w:r>
        <w:t xml:space="preserve">Confirmation that Service Lifecycle Management is no longer offsetting stronger PLM and CAD performance.</w:t>
      </w:r>
    </w:p>
    <w:p>
      <w:r>
        <w:pict>
          <v:rect style="width:0;height:1.5pt" o:hralign="center" o:hrstd="t" o:hr="t"/>
        </w:pict>
      </w:r>
    </w:p>
    <w:bookmarkEnd w:id="21"/>
    <w:bookmarkEnd w:id="22"/>
    <w:bookmarkStart w:id="24" w:name="X39e6ead2f4a45af0b0e04e88697327217b05a8c"/>
    <w:p>
      <w:pPr>
        <w:pStyle w:val="Heading2"/>
      </w:pPr>
      <w:r>
        <w:t xml:space="preserve">AI: product validation matters more than near-term revenue</w:t>
      </w:r>
    </w:p>
    <w:p>
      <w:pPr>
        <w:pStyle w:val="FirstParagraph"/>
      </w:pPr>
      <w:r>
        <w:t xml:space="preserve">PTC used its June PTC NEXT event to launch or preview:</w:t>
      </w:r>
    </w:p>
    <w:p>
      <w:pPr>
        <w:pStyle w:val="Compact"/>
        <w:numPr>
          <w:ilvl w:val="0"/>
          <w:numId w:val="1010"/>
        </w:numPr>
      </w:pPr>
      <w:r>
        <w:t xml:space="preserve">PTC Orbit.</w:t>
      </w:r>
    </w:p>
    <w:p>
      <w:pPr>
        <w:pStyle w:val="Compact"/>
        <w:numPr>
          <w:ilvl w:val="0"/>
          <w:numId w:val="1010"/>
        </w:numPr>
      </w:pPr>
      <w:r>
        <w:t xml:space="preserve">PTC Jetstream.</w:t>
      </w:r>
    </w:p>
    <w:p>
      <w:pPr>
        <w:pStyle w:val="Compact"/>
        <w:numPr>
          <w:ilvl w:val="0"/>
          <w:numId w:val="1010"/>
        </w:numPr>
      </w:pPr>
      <w:r>
        <w:t xml:space="preserve">A new AI platform.</w:t>
      </w:r>
    </w:p>
    <w:p>
      <w:pPr>
        <w:pStyle w:val="Compact"/>
        <w:numPr>
          <w:ilvl w:val="0"/>
          <w:numId w:val="1010"/>
        </w:numPr>
      </w:pPr>
      <w:r>
        <w:t xml:space="preserve">12 AI agents.</w:t>
      </w:r>
    </w:p>
    <w:p>
      <w:pPr>
        <w:pStyle w:val="Compact"/>
        <w:numPr>
          <w:ilvl w:val="0"/>
          <w:numId w:val="1010"/>
        </w:numPr>
      </w:pPr>
      <w:r>
        <w:t xml:space="preserve">10 new integrations.</w:t>
      </w:r>
    </w:p>
    <w:p>
      <w:pPr>
        <w:pStyle w:val="Compact"/>
        <w:numPr>
          <w:ilvl w:val="0"/>
          <w:numId w:val="1010"/>
        </w:numPr>
      </w:pPr>
      <w:r>
        <w:t xml:space="preserve">More than 100 portfolio enhancements.</w:t>
      </w:r>
    </w:p>
    <w:p>
      <w:pPr>
        <w:pStyle w:val="FirstParagraph"/>
      </w:pPr>
      <w:r>
        <w:t xml:space="preserve">The releases extend across Creo, Onshape, Windchill, Arena, Codebeamer, ServiceMax, and Servigistics. PTC Orbit is intended to unify “as-maintained” asset data, while Jetstream is designed to improve collaboration and traceable feedback across product-development systems. (</w:t>
      </w:r>
      <w:hyperlink r:id="rId23">
        <w:r>
          <w:rPr>
            <w:rStyle w:val="Hyperlink"/>
          </w:rPr>
          <w:t xml:space="preserve">investor.ptc.com</w:t>
        </w:r>
      </w:hyperlink>
      <w:r>
        <w:t xml:space="preserve">)</w:t>
      </w:r>
    </w:p>
    <w:p>
      <w:pPr>
        <w:pStyle w:val="BodyText"/>
      </w:pPr>
      <w:r>
        <w:t xml:space="preserve">This materially strengthens the product story. It does</w:t>
      </w:r>
      <w:r>
        <w:t xml:space="preserve"> </w:t>
      </w:r>
      <w:r>
        <w:rPr>
          <w:b/>
          <w:bCs/>
        </w:rPr>
        <w:t xml:space="preserve">not</w:t>
      </w:r>
      <w:r>
        <w:t xml:space="preserve">, by itself, prove that AI will drive near-term financial acceleration.</w:t>
      </w:r>
    </w:p>
    <w:p>
      <w:pPr>
        <w:pStyle w:val="BodyText"/>
      </w:pPr>
      <w:r>
        <w:t xml:space="preserve">Management previously said AI monetization should begin in fiscal 2027 but is unlikely to be material initially. Therefore, the best evidence this quarter would be:</w:t>
      </w:r>
    </w:p>
    <w:p>
      <w:pPr>
        <w:pStyle w:val="Compact"/>
        <w:numPr>
          <w:ilvl w:val="0"/>
          <w:numId w:val="1011"/>
        </w:numPr>
      </w:pPr>
      <w:r>
        <w:t xml:space="preserve">More paid expansions rather than proofs of concept.</w:t>
      </w:r>
    </w:p>
    <w:p>
      <w:pPr>
        <w:pStyle w:val="Compact"/>
        <w:numPr>
          <w:ilvl w:val="0"/>
          <w:numId w:val="1011"/>
        </w:numPr>
      </w:pPr>
      <w:r>
        <w:t xml:space="preserve">Seven-figure AI add-ons similar to the prior ServiceMax example.</w:t>
      </w:r>
    </w:p>
    <w:p>
      <w:pPr>
        <w:pStyle w:val="Compact"/>
        <w:numPr>
          <w:ilvl w:val="0"/>
          <w:numId w:val="1011"/>
        </w:numPr>
      </w:pPr>
      <w:r>
        <w:t xml:space="preserve">Deals where AI directly caused a Windchill, Codebeamer, Creo, or Onshape purchase.</w:t>
      </w:r>
    </w:p>
    <w:p>
      <w:pPr>
        <w:pStyle w:val="Compact"/>
        <w:numPr>
          <w:ilvl w:val="0"/>
          <w:numId w:val="1011"/>
        </w:numPr>
      </w:pPr>
      <w:r>
        <w:t xml:space="preserve">Customer adoption of multiple PTC agents or cross-portfolio products.</w:t>
      </w:r>
    </w:p>
    <w:p>
      <w:pPr>
        <w:pStyle w:val="Compact"/>
        <w:numPr>
          <w:ilvl w:val="0"/>
          <w:numId w:val="1011"/>
        </w:numPr>
      </w:pPr>
      <w:r>
        <w:t xml:space="preserve">Initial pricing information for Orbit, Jetstream, and the intelligence layer.</w:t>
      </w:r>
    </w:p>
    <w:p>
      <w:pPr>
        <w:pStyle w:val="Compact"/>
        <w:numPr>
          <w:ilvl w:val="0"/>
          <w:numId w:val="1011"/>
        </w:numPr>
      </w:pPr>
      <w:r>
        <w:t xml:space="preserve">A clearer distinction between included AI features and separately priced SKUs.</w:t>
      </w:r>
    </w:p>
    <w:p>
      <w:pPr>
        <w:pStyle w:val="FirstParagraph"/>
      </w:pPr>
      <w:r>
        <w:t xml:space="preserve">The bull case is not primarily that PTC sells AI tokens. It is that AI creates urgency for customers to modernize fragmented product data, increasing demand for PTC’s underlying systems of record.</w:t>
      </w:r>
    </w:p>
    <w:p>
      <w:r>
        <w:pict>
          <v:rect style="width:0;height:1.5pt" o:hralign="center" o:hrstd="t" o:hr="t"/>
        </w:pict>
      </w:r>
    </w:p>
    <w:bookmarkEnd w:id="24"/>
    <w:bookmarkStart w:id="26" w:name="cash-flow-and-capital-allocation"/>
    <w:p>
      <w:pPr>
        <w:pStyle w:val="Heading2"/>
      </w:pPr>
      <w:r>
        <w:t xml:space="preserve">Cash flow and capital allocation</w:t>
      </w:r>
    </w:p>
    <w:p>
      <w:pPr>
        <w:pStyle w:val="FirstParagraph"/>
      </w:pPr>
      <w:r>
        <w:t xml:space="preserve">PTC generated</w:t>
      </w:r>
      <w:r>
        <w:t xml:space="preserve"> </w:t>
      </w:r>
      <w:r>
        <w:rPr>
          <w:b/>
          <w:bCs/>
        </w:rPr>
        <w:t xml:space="preserve">$318 million of Q2 free cash flow</w:t>
      </w:r>
      <w:r>
        <w:t xml:space="preserve">, up 14%, and reiterated approximately $850 million for the full year.</w:t>
      </w:r>
    </w:p>
    <w:p>
      <w:pPr>
        <w:pStyle w:val="BodyText"/>
      </w:pPr>
      <w:r>
        <w:t xml:space="preserve">Management has argued that fiscal 2026 includes approximately</w:t>
      </w:r>
      <w:r>
        <w:t xml:space="preserve"> </w:t>
      </w:r>
      <m:oMath>
        <m:r>
          <m:t>100</m:t>
        </m:r>
        <m:r>
          <m:t>m</m:t>
        </m:r>
        <m:r>
          <m:t>i</m:t>
        </m:r>
        <m:r>
          <m:t>l</m:t>
        </m:r>
        <m:r>
          <m:t>l</m:t>
        </m:r>
        <m:r>
          <m:t>i</m:t>
        </m:r>
        <m:r>
          <m:t>o</m:t>
        </m:r>
        <m:r>
          <m:t>n</m:t>
        </m:r>
        <m:r>
          <m:t>o</m:t>
        </m:r>
        <m:r>
          <m:t>f</m:t>
        </m:r>
        <m:r>
          <m:t>n</m:t>
        </m:r>
        <m:r>
          <m:t>e</m:t>
        </m:r>
        <m:r>
          <m:t>t</m:t>
        </m:r>
        <m:r>
          <m:t>t</m:t>
        </m:r>
        <m:r>
          <m:t>e</m:t>
        </m:r>
        <m:r>
          <m:t>m</m:t>
        </m:r>
        <m:r>
          <m:t>p</m:t>
        </m:r>
        <m:r>
          <m:t>o</m:t>
        </m:r>
        <m:r>
          <m:t>r</m:t>
        </m:r>
        <m:r>
          <m:t>a</m:t>
        </m:r>
        <m:r>
          <m:t>r</m:t>
        </m:r>
        <m:r>
          <m:t>y</m:t>
        </m:r>
        <m:r>
          <m:t>h</m:t>
        </m:r>
        <m:r>
          <m:t>e</m:t>
        </m:r>
        <m:r>
          <m:t>a</m:t>
        </m:r>
        <m:r>
          <m:t>d</m:t>
        </m:r>
        <m:r>
          <m:t>w</m:t>
        </m:r>
        <m:r>
          <m:t>i</m:t>
        </m:r>
        <m:r>
          <m:t>n</m:t>
        </m:r>
        <m:r>
          <m:t>d</m:t>
        </m:r>
        <m:r>
          <m:t>s</m:t>
        </m:r>
        <m:r>
          <m:rPr>
            <m:sty m:val="p"/>
          </m:rPr>
          <m:t>*</m:t>
        </m:r>
        <m:r>
          <m:rPr>
            <m:sty m:val="p"/>
          </m:rPr>
          <m:t>*</m:t>
        </m:r>
        <m:r>
          <m:rPr>
            <m:sty m:val="p"/>
          </m:rPr>
          <m:t>,</m:t>
        </m:r>
        <m:r>
          <m:t>i</m:t>
        </m:r>
        <m:r>
          <m:t>n</m:t>
        </m:r>
        <m:r>
          <m:t>c</m:t>
        </m:r>
        <m:r>
          <m:t>l</m:t>
        </m:r>
        <m:r>
          <m:t>u</m:t>
        </m:r>
        <m:r>
          <m:t>d</m:t>
        </m:r>
        <m:r>
          <m:t>i</m:t>
        </m:r>
        <m:r>
          <m:t>n</m:t>
        </m:r>
        <m:r>
          <m:t>g</m:t>
        </m:r>
        <m:r>
          <m:t>d</m:t>
        </m:r>
        <m:r>
          <m:t>i</m:t>
        </m:r>
        <m:r>
          <m:t>v</m:t>
        </m:r>
        <m:r>
          <m:t>e</m:t>
        </m:r>
        <m:r>
          <m:t>s</m:t>
        </m:r>
        <m:r>
          <m:t>t</m:t>
        </m:r>
        <m:r>
          <m:t>i</m:t>
        </m:r>
        <m:r>
          <m:t>t</m:t>
        </m:r>
        <m:r>
          <m:t>u</m:t>
        </m:r>
        <m:r>
          <m:t>r</m:t>
        </m:r>
        <m:r>
          <m:t>e</m:t>
        </m:r>
        <m:r>
          <m:t>c</m:t>
        </m:r>
        <m:r>
          <m:t>o</m:t>
        </m:r>
        <m:r>
          <m:t>s</m:t>
        </m:r>
        <m:r>
          <m:t>t</m:t>
        </m:r>
        <m:r>
          <m:t>s</m:t>
        </m:r>
        <m:r>
          <m:t>a</m:t>
        </m:r>
        <m:r>
          <m:t>n</m:t>
        </m:r>
        <m:r>
          <m:t>d</m:t>
        </m:r>
        <m:r>
          <m:t>t</m:t>
        </m:r>
        <m:r>
          <m:t>a</m:t>
        </m:r>
        <m:r>
          <m:t>x</m:t>
        </m:r>
        <m:r>
          <m:t>e</m:t>
        </m:r>
        <m:r>
          <m:t>s</m:t>
        </m:r>
        <m:r>
          <m:t>a</m:t>
        </m:r>
        <m:r>
          <m:t>n</m:t>
        </m:r>
        <m:r>
          <m:t>d</m:t>
        </m:r>
        <m:r>
          <m:t>e</m:t>
        </m:r>
        <m:r>
          <m:t>l</m:t>
        </m:r>
        <m:r>
          <m:t>e</m:t>
        </m:r>
        <m:r>
          <m:t>v</m:t>
        </m:r>
        <m:r>
          <m:t>a</m:t>
        </m:r>
        <m:r>
          <m:t>t</m:t>
        </m:r>
        <m:r>
          <m:t>e</m:t>
        </m:r>
        <m:r>
          <m:t>d</m:t>
        </m:r>
        <m:r>
          <m:t>c</m:t>
        </m:r>
        <m:r>
          <m:t>a</m:t>
        </m:r>
        <m:r>
          <m:t>p</m:t>
        </m:r>
        <m:r>
          <m:t>i</m:t>
        </m:r>
        <m:r>
          <m:t>t</m:t>
        </m:r>
        <m:r>
          <m:t>a</m:t>
        </m:r>
        <m:r>
          <m:t>l</m:t>
        </m:r>
        <m:r>
          <m:t>e</m:t>
        </m:r>
        <m:r>
          <m:t>x</m:t>
        </m:r>
        <m:r>
          <m:t>p</m:t>
        </m:r>
        <m:r>
          <m:t>e</m:t>
        </m:r>
        <m:r>
          <m:t>n</m:t>
        </m:r>
        <m:r>
          <m:t>d</m:t>
        </m:r>
        <m:r>
          <m:t>i</m:t>
        </m:r>
        <m:r>
          <m:t>t</m:t>
        </m:r>
        <m:r>
          <m:t>u</m:t>
        </m:r>
        <m:r>
          <m:t>r</m:t>
        </m:r>
        <m:r>
          <m:t>e</m:t>
        </m:r>
        <m:r>
          <m:t>s</m:t>
        </m:r>
        <m:r>
          <m:rPr>
            <m:sty m:val="p"/>
          </m:rPr>
          <m:t>.</m:t>
        </m:r>
        <m:r>
          <m:t>O</m:t>
        </m:r>
        <m:r>
          <m:t>n</m:t>
        </m:r>
        <m:r>
          <m:t>t</m:t>
        </m:r>
        <m:r>
          <m:t>h</m:t>
        </m:r>
        <m:r>
          <m:t>a</m:t>
        </m:r>
        <m:r>
          <m:t>t</m:t>
        </m:r>
        <m:r>
          <m:t>b</m:t>
        </m:r>
        <m:r>
          <m:t>a</m:t>
        </m:r>
        <m:r>
          <m:t>s</m:t>
        </m:r>
        <m:r>
          <m:t>i</m:t>
        </m:r>
        <m:r>
          <m:t>s</m:t>
        </m:r>
        <m:r>
          <m:rPr>
            <m:sty m:val="p"/>
          </m:rPr>
          <m:t>,</m:t>
        </m:r>
        <m:r>
          <m:t>i</m:t>
        </m:r>
        <m:r>
          <m:t>t</m:t>
        </m:r>
        <m:r>
          <m:t>v</m:t>
        </m:r>
        <m:r>
          <m:t>i</m:t>
        </m:r>
        <m:r>
          <m:t>e</m:t>
        </m:r>
        <m:r>
          <m:t>w</m:t>
        </m:r>
        <m:r>
          <m:t>s</m:t>
        </m:r>
        <m:r>
          <m:t>r</m:t>
        </m:r>
        <m:r>
          <m:t>o</m:t>
        </m:r>
        <m:r>
          <m:t>u</m:t>
        </m:r>
        <m:r>
          <m:t>g</m:t>
        </m:r>
        <m:r>
          <m:t>h</m:t>
        </m:r>
        <m:r>
          <m:t>l</m:t>
        </m:r>
        <m:r>
          <m:t>y</m:t>
        </m:r>
        <m:r>
          <m:rPr>
            <m:sty m:val="p"/>
          </m:rPr>
          <m:t>*</m:t>
        </m:r>
        <m:r>
          <m:rPr>
            <m:sty m:val="p"/>
          </m:rPr>
          <m:t>*</m:t>
        </m:r>
      </m:oMath>
      <w:r>
        <w:rPr>
          <w:b/>
          <w:bCs/>
        </w:rPr>
        <w:t xml:space="preserve">950 million</w:t>
      </w:r>
      <w:r>
        <w:t xml:space="preserve"> </w:t>
      </w:r>
      <w:r>
        <w:t xml:space="preserve">as the better baseline for modeling fiscal 2027.</w:t>
      </w:r>
    </w:p>
    <w:p>
      <w:pPr>
        <w:pStyle w:val="BodyText"/>
      </w:pPr>
      <w:r>
        <w:t xml:space="preserve">Using the July 28 share price and management’s expected Q3 share count, the stock trades at roughly:</w:t>
      </w:r>
    </w:p>
    <w:p>
      <w:pPr>
        <w:pStyle w:val="Compact"/>
        <w:numPr>
          <w:ilvl w:val="0"/>
          <w:numId w:val="1012"/>
        </w:numPr>
      </w:pPr>
      <w:r>
        <w:rPr>
          <w:b/>
          <w:bCs/>
        </w:rPr>
        <w:t xml:space="preserve">5.8% FY2026 guided free-cash-flow yield.</w:t>
      </w:r>
    </w:p>
    <w:p>
      <w:pPr>
        <w:pStyle w:val="Compact"/>
        <w:numPr>
          <w:ilvl w:val="0"/>
          <w:numId w:val="1012"/>
        </w:numPr>
      </w:pPr>
      <w:r>
        <w:rPr>
          <w:b/>
          <w:bCs/>
        </w:rPr>
        <w:t xml:space="preserve">6.4%–6.5% yield on management’s $950 million normalized baseline.</w:t>
      </w:r>
    </w:p>
    <w:p>
      <w:pPr>
        <w:pStyle w:val="FirstParagraph"/>
      </w:pPr>
      <w:r>
        <w:t xml:space="preserve">That is not automatically cheap if growth slows, but it becomes more attractive if ARR returns toward double digits and the normalized cash-flow baseline proves credible.</w:t>
      </w:r>
    </w:p>
    <w:bookmarkStart w:id="25" w:name="buybacks"/>
    <w:p>
      <w:pPr>
        <w:pStyle w:val="Heading3"/>
      </w:pPr>
      <w:r>
        <w:t xml:space="preserve">Buybacks</w:t>
      </w:r>
    </w:p>
    <w:p>
      <w:pPr>
        <w:pStyle w:val="FirstParagraph"/>
      </w:pPr>
      <w:r>
        <w:t xml:space="preserve">PTC used approximately $625 million for repurchases in Q2, planned another roughly $250 million in Q3, and expects</w:t>
      </w:r>
      <w:r>
        <w:t xml:space="preserve"> </w:t>
      </w:r>
      <m:oMath>
        <m:r>
          <m:t>1.225</m:t>
        </m:r>
        <m:r>
          <m:t>b</m:t>
        </m:r>
        <m:r>
          <m:t>i</m:t>
        </m:r>
        <m:r>
          <m:t>l</m:t>
        </m:r>
        <m:r>
          <m:t>l</m:t>
        </m:r>
        <m:r>
          <m:t>i</m:t>
        </m:r>
        <m:r>
          <m:t>o</m:t>
        </m:r>
        <m:r>
          <m:t>n</m:t>
        </m:r>
        <m:r>
          <m:rPr>
            <m:sty m:val="p"/>
          </m:rPr>
          <m:t>–</m:t>
        </m:r>
      </m:oMath>
      <w:r>
        <w:t xml:space="preserve">1.325 billion for the fiscal year. Its board also authorized a new $2 billion program covering fiscal 2027 and 2028. (</w:t>
      </w:r>
      <w:hyperlink r:id="rId11">
        <w:r>
          <w:rPr>
            <w:rStyle w:val="Hyperlink"/>
          </w:rPr>
          <w:t xml:space="preserve">investor.ptc.com</w:t>
        </w:r>
      </w:hyperlink>
      <w:r>
        <w:t xml:space="preserve">)</w:t>
      </w:r>
    </w:p>
    <w:p>
      <w:pPr>
        <w:pStyle w:val="BodyText"/>
      </w:pPr>
      <w:r>
        <w:t xml:space="preserve">Investors should look for:</w:t>
      </w:r>
    </w:p>
    <w:p>
      <w:pPr>
        <w:pStyle w:val="Compact"/>
        <w:numPr>
          <w:ilvl w:val="0"/>
          <w:numId w:val="1013"/>
        </w:numPr>
      </w:pPr>
      <w:r>
        <w:t xml:space="preserve">Completion and final share delivery under the accelerated repurchase.</w:t>
      </w:r>
    </w:p>
    <w:p>
      <w:pPr>
        <w:pStyle w:val="Compact"/>
        <w:numPr>
          <w:ilvl w:val="0"/>
          <w:numId w:val="1013"/>
        </w:numPr>
      </w:pPr>
      <w:r>
        <w:t xml:space="preserve">Confirmation of the 115 million–116 million Q3 diluted share count.</w:t>
      </w:r>
    </w:p>
    <w:p>
      <w:pPr>
        <w:pStyle w:val="Compact"/>
        <w:numPr>
          <w:ilvl w:val="0"/>
          <w:numId w:val="1013"/>
        </w:numPr>
      </w:pPr>
      <w:r>
        <w:t xml:space="preserve">Whether fiscal 2027 buybacks will remain aggressive.</w:t>
      </w:r>
    </w:p>
    <w:p>
      <w:pPr>
        <w:pStyle w:val="Compact"/>
        <w:numPr>
          <w:ilvl w:val="0"/>
          <w:numId w:val="1013"/>
        </w:numPr>
      </w:pPr>
      <w:r>
        <w:t xml:space="preserve">Any change in the balance among repurchases, debt reduction, and acquisitions.</w:t>
      </w:r>
    </w:p>
    <w:p>
      <w:pPr>
        <w:pStyle w:val="FirstParagraph"/>
      </w:pPr>
      <w:r>
        <w:t xml:space="preserve">The buyback is meaningful, but it should not obscure the primary question: whether organic ARR growth is accelerating.</w:t>
      </w:r>
    </w:p>
    <w:p>
      <w:r>
        <w:pict>
          <v:rect style="width:0;height:1.5pt" o:hralign="center" o:hrstd="t" o:hr="t"/>
        </w:pict>
      </w:r>
    </w:p>
    <w:bookmarkEnd w:id="25"/>
    <w:bookmarkEnd w:id="26"/>
    <w:bookmarkStart w:id="27" w:name="accounting-and-comparability-cautions"/>
    <w:p>
      <w:pPr>
        <w:pStyle w:val="Heading2"/>
      </w:pPr>
      <w:r>
        <w:t xml:space="preserve">Accounting and comparability cautions</w:t>
      </w:r>
    </w:p>
    <w:p>
      <w:pPr>
        <w:pStyle w:val="FirstParagraph"/>
      </w:pPr>
      <w:r>
        <w:t xml:space="preserve">This report will be the first full quarter following the March 13 divestiture of Kepware and ThingWorx. Because the transaction did not qualify for discontinued-operations treatment, historical revenue, cash flow, and EPS were not recast.</w:t>
      </w:r>
    </w:p>
    <w:p>
      <w:pPr>
        <w:pStyle w:val="BodyText"/>
      </w:pPr>
      <w:r>
        <w:t xml:space="preserve">Consequently:</w:t>
      </w:r>
    </w:p>
    <w:p>
      <w:pPr>
        <w:pStyle w:val="Compact"/>
        <w:numPr>
          <w:ilvl w:val="0"/>
          <w:numId w:val="1014"/>
        </w:numPr>
      </w:pPr>
      <w:r>
        <w:t xml:space="preserve">Year-over-year reported revenue comparisons include divested operations in the prior-year period.</w:t>
      </w:r>
    </w:p>
    <w:p>
      <w:pPr>
        <w:pStyle w:val="Compact"/>
        <w:numPr>
          <w:ilvl w:val="0"/>
          <w:numId w:val="1014"/>
        </w:numPr>
      </w:pPr>
      <w:r>
        <w:t xml:space="preserve">Fiscal 2026 included the businesses only through March 13.</w:t>
      </w:r>
    </w:p>
    <w:p>
      <w:pPr>
        <w:pStyle w:val="Compact"/>
        <w:numPr>
          <w:ilvl w:val="0"/>
          <w:numId w:val="1014"/>
        </w:numPr>
      </w:pPr>
      <w:r>
        <w:t xml:space="preserve">ARR excluding the divested businesses is the cleanest top-line growth measure.</w:t>
      </w:r>
    </w:p>
    <w:p>
      <w:pPr>
        <w:pStyle w:val="Compact"/>
        <w:numPr>
          <w:ilvl w:val="0"/>
          <w:numId w:val="1014"/>
        </w:numPr>
      </w:pPr>
      <w:r>
        <w:t xml:space="preserve">GAAP EPS comparisons are distorted by the prior-quarter divestiture gain.</w:t>
      </w:r>
    </w:p>
    <w:p>
      <w:pPr>
        <w:pStyle w:val="Compact"/>
        <w:numPr>
          <w:ilvl w:val="0"/>
          <w:numId w:val="1014"/>
        </w:numPr>
      </w:pPr>
      <w:r>
        <w:t xml:space="preserve">Free cash flow includes several temporary divestiture and office-relocation items.</w:t>
      </w:r>
    </w:p>
    <w:p>
      <w:pPr>
        <w:pStyle w:val="FirstParagraph"/>
      </w:pPr>
      <w:r>
        <w:t xml:space="preserve">Investors should prioritize</w:t>
      </w:r>
      <w:r>
        <w:t xml:space="preserve"> </w:t>
      </w:r>
      <w:r>
        <w:rPr>
          <w:b/>
          <w:bCs/>
        </w:rPr>
        <w:t xml:space="preserve">constant-currency ARR excluding divested businesses</w:t>
      </w:r>
      <w:r>
        <w:t xml:space="preserve">, net-new ARR, normalized free cash flow, and forward commentary.</w:t>
      </w:r>
    </w:p>
    <w:p>
      <w:r>
        <w:pict>
          <v:rect style="width:0;height:1.5pt" o:hralign="center" o:hrstd="t" o:hr="t"/>
        </w:pict>
      </w:r>
    </w:p>
    <w:bookmarkEnd w:id="27"/>
    <w:bookmarkStart w:id="31" w:name="scenario-framework"/>
    <w:p>
      <w:pPr>
        <w:pStyle w:val="Heading2"/>
      </w:pPr>
      <w:r>
        <w:t xml:space="preserve">Scenario framework</w:t>
      </w:r>
    </w:p>
    <w:bookmarkStart w:id="28" w:name="bull-case"/>
    <w:p>
      <w:pPr>
        <w:pStyle w:val="Heading3"/>
      </w:pPr>
      <w:r>
        <w:t xml:space="preserve">Bull case</w:t>
      </w:r>
    </w:p>
    <w:p>
      <w:pPr>
        <w:pStyle w:val="Compact"/>
        <w:numPr>
          <w:ilvl w:val="0"/>
          <w:numId w:val="1015"/>
        </w:numPr>
      </w:pPr>
      <w:r>
        <w:t xml:space="preserve">ARR growth of 9% or better.</w:t>
      </w:r>
    </w:p>
    <w:p>
      <w:pPr>
        <w:pStyle w:val="Compact"/>
        <w:numPr>
          <w:ilvl w:val="0"/>
          <w:numId w:val="1015"/>
        </w:numPr>
      </w:pPr>
      <w:r>
        <w:t xml:space="preserve">Net-new ARR above $55 million.</w:t>
      </w:r>
    </w:p>
    <w:p>
      <w:pPr>
        <w:pStyle w:val="Compact"/>
        <w:numPr>
          <w:ilvl w:val="0"/>
          <w:numId w:val="1015"/>
        </w:numPr>
      </w:pPr>
      <w:r>
        <w:t xml:space="preserve">Revenue and EPS above the top half of guidance.</w:t>
      </w:r>
    </w:p>
    <w:p>
      <w:pPr>
        <w:pStyle w:val="Compact"/>
        <w:numPr>
          <w:ilvl w:val="0"/>
          <w:numId w:val="1015"/>
        </w:numPr>
      </w:pPr>
      <w:r>
        <w:t xml:space="preserve">Free cash flow exceeds $245 million.</w:t>
      </w:r>
    </w:p>
    <w:p>
      <w:pPr>
        <w:pStyle w:val="Compact"/>
        <w:numPr>
          <w:ilvl w:val="0"/>
          <w:numId w:val="1015"/>
        </w:numPr>
      </w:pPr>
      <w:r>
        <w:t xml:space="preserve">Full-year ARR outlook tightens toward the upper half.</w:t>
      </w:r>
    </w:p>
    <w:p>
      <w:pPr>
        <w:pStyle w:val="Compact"/>
        <w:numPr>
          <w:ilvl w:val="0"/>
          <w:numId w:val="1015"/>
        </w:numPr>
      </w:pPr>
      <w:r>
        <w:t xml:space="preserve">Management raises confidence in Q4 deferred ARR and fiscal 2027 acceleration.</w:t>
      </w:r>
    </w:p>
    <w:p>
      <w:pPr>
        <w:pStyle w:val="Compact"/>
        <w:numPr>
          <w:ilvl w:val="0"/>
          <w:numId w:val="1015"/>
        </w:numPr>
      </w:pPr>
      <w:r>
        <w:t xml:space="preserve">ServiceMax stabilizes and PLM growth strengthens.</w:t>
      </w:r>
    </w:p>
    <w:p>
      <w:pPr>
        <w:pStyle w:val="Compact"/>
        <w:numPr>
          <w:ilvl w:val="0"/>
          <w:numId w:val="1015"/>
        </w:numPr>
      </w:pPr>
      <w:r>
        <w:t xml:space="preserve">Early paid adoption of Orbit, Jetstream, or other AI SKUs emerges.</w:t>
      </w:r>
    </w:p>
    <w:p>
      <w:pPr>
        <w:pStyle w:val="FirstParagraph"/>
      </w:pPr>
      <w:r>
        <w:t xml:space="preserve">This would suggest PTC is moving from restructuring to sustained execution and could support a meaningful recovery from the stock’s fiscal-year decline.</w:t>
      </w:r>
    </w:p>
    <w:bookmarkEnd w:id="28"/>
    <w:bookmarkStart w:id="29" w:name="base-case"/>
    <w:p>
      <w:pPr>
        <w:pStyle w:val="Heading3"/>
      </w:pPr>
      <w:r>
        <w:t xml:space="preserve">Base case</w:t>
      </w:r>
    </w:p>
    <w:p>
      <w:pPr>
        <w:pStyle w:val="Compact"/>
        <w:numPr>
          <w:ilvl w:val="0"/>
          <w:numId w:val="1016"/>
        </w:numPr>
      </w:pPr>
      <w:r>
        <w:t xml:space="preserve">ARR growth of 8.5%–9%.</w:t>
      </w:r>
    </w:p>
    <w:p>
      <w:pPr>
        <w:pStyle w:val="Compact"/>
        <w:numPr>
          <w:ilvl w:val="0"/>
          <w:numId w:val="1016"/>
        </w:numPr>
      </w:pPr>
      <w:r>
        <w:t xml:space="preserve">Net-new ARR around</w:t>
      </w:r>
      <w:r>
        <w:t xml:space="preserve"> </w:t>
      </w:r>
      <m:oMath>
        <m:r>
          <m:t>45</m:t>
        </m:r>
        <m:r>
          <m:t>m</m:t>
        </m:r>
        <m:r>
          <m:t>i</m:t>
        </m:r>
        <m:r>
          <m:t>l</m:t>
        </m:r>
        <m:r>
          <m:t>l</m:t>
        </m:r>
        <m:r>
          <m:t>i</m:t>
        </m:r>
        <m:r>
          <m:t>o</m:t>
        </m:r>
        <m:r>
          <m:t>n</m:t>
        </m:r>
        <m:r>
          <m:rPr>
            <m:sty m:val="p"/>
          </m:rPr>
          <m:t>–</m:t>
        </m:r>
      </m:oMath>
      <w:r>
        <w:t xml:space="preserve">55 million.</w:t>
      </w:r>
    </w:p>
    <w:p>
      <w:pPr>
        <w:pStyle w:val="Compact"/>
        <w:numPr>
          <w:ilvl w:val="0"/>
          <w:numId w:val="1016"/>
        </w:numPr>
      </w:pPr>
      <w:r>
        <w:t xml:space="preserve">Revenue and EPS near consensus.</w:t>
      </w:r>
    </w:p>
    <w:p>
      <w:pPr>
        <w:pStyle w:val="Compact"/>
        <w:numPr>
          <w:ilvl w:val="0"/>
          <w:numId w:val="1016"/>
        </w:numPr>
      </w:pPr>
      <w:r>
        <w:t xml:space="preserve">Full-year guidance reiterated.</w:t>
      </w:r>
    </w:p>
    <w:p>
      <w:pPr>
        <w:pStyle w:val="Compact"/>
        <w:numPr>
          <w:ilvl w:val="0"/>
          <w:numId w:val="1016"/>
        </w:numPr>
      </w:pPr>
      <w:r>
        <w:t xml:space="preserve">Q4 acceleration remains intact, but management provides limited incremental fiscal 2027 detail.</w:t>
      </w:r>
    </w:p>
    <w:p>
      <w:pPr>
        <w:pStyle w:val="Compact"/>
        <w:numPr>
          <w:ilvl w:val="0"/>
          <w:numId w:val="1016"/>
        </w:numPr>
      </w:pPr>
      <w:r>
        <w:t xml:space="preserve">AI commentary remains promising but mostly pre-revenue.</w:t>
      </w:r>
    </w:p>
    <w:p>
      <w:pPr>
        <w:pStyle w:val="FirstParagraph"/>
      </w:pPr>
      <w:r>
        <w:t xml:space="preserve">This would be operationally satisfactory. The stock reaction would likely depend on the strength and specificity of Q4 and fiscal 2027 commentary.</w:t>
      </w:r>
    </w:p>
    <w:bookmarkEnd w:id="29"/>
    <w:bookmarkStart w:id="30" w:name="bear-case"/>
    <w:p>
      <w:pPr>
        <w:pStyle w:val="Heading3"/>
      </w:pPr>
      <w:r>
        <w:t xml:space="preserve">Bear case</w:t>
      </w:r>
    </w:p>
    <w:p>
      <w:pPr>
        <w:pStyle w:val="Compact"/>
        <w:numPr>
          <w:ilvl w:val="0"/>
          <w:numId w:val="1017"/>
        </w:numPr>
      </w:pPr>
      <w:r>
        <w:t xml:space="preserve">ARR growth below 8%.</w:t>
      </w:r>
    </w:p>
    <w:p>
      <w:pPr>
        <w:pStyle w:val="Compact"/>
        <w:numPr>
          <w:ilvl w:val="0"/>
          <w:numId w:val="1017"/>
        </w:numPr>
      </w:pPr>
      <w:r>
        <w:t xml:space="preserve">Net-new ARR below $40 million.</w:t>
      </w:r>
    </w:p>
    <w:p>
      <w:pPr>
        <w:pStyle w:val="Compact"/>
        <w:numPr>
          <w:ilvl w:val="0"/>
          <w:numId w:val="1017"/>
        </w:numPr>
      </w:pPr>
      <w:r>
        <w:t xml:space="preserve">Weakness in Europe, automotive, or ServiceMax.</w:t>
      </w:r>
    </w:p>
    <w:p>
      <w:pPr>
        <w:pStyle w:val="Compact"/>
        <w:numPr>
          <w:ilvl w:val="0"/>
          <w:numId w:val="1017"/>
        </w:numPr>
      </w:pPr>
      <w:r>
        <w:t xml:space="preserve">Slower deal approvals or commencement dates.</w:t>
      </w:r>
    </w:p>
    <w:p>
      <w:pPr>
        <w:pStyle w:val="Compact"/>
        <w:numPr>
          <w:ilvl w:val="0"/>
          <w:numId w:val="1017"/>
        </w:numPr>
      </w:pPr>
      <w:r>
        <w:t xml:space="preserve">Q4 deferred ARR visibility deteriorates.</w:t>
      </w:r>
    </w:p>
    <w:p>
      <w:pPr>
        <w:pStyle w:val="Compact"/>
        <w:numPr>
          <w:ilvl w:val="0"/>
          <w:numId w:val="1017"/>
        </w:numPr>
      </w:pPr>
      <w:r>
        <w:t xml:space="preserve">Full-year ARR guidance is reduced or management points investors toward the low end.</w:t>
      </w:r>
    </w:p>
    <w:p>
      <w:pPr>
        <w:pStyle w:val="Compact"/>
        <w:numPr>
          <w:ilvl w:val="0"/>
          <w:numId w:val="1017"/>
        </w:numPr>
      </w:pPr>
      <w:r>
        <w:t xml:space="preserve">Normalized fiscal 2027 cash-flow expectations become less credible.</w:t>
      </w:r>
    </w:p>
    <w:p>
      <w:pPr>
        <w:pStyle w:val="FirstParagraph"/>
      </w:pPr>
      <w:r>
        <w:t xml:space="preserve">The largest risk is not a quarterly revenue miss. It is evidence that the expected ARR inflection has been pushed out again.</w:t>
      </w:r>
    </w:p>
    <w:p>
      <w:r>
        <w:pict>
          <v:rect style="width:0;height:1.5pt" o:hralign="center" o:hrstd="t" o:hr="t"/>
        </w:pict>
      </w:r>
    </w:p>
    <w:bookmarkEnd w:id="30"/>
    <w:bookmarkEnd w:id="31"/>
    <w:bookmarkStart w:id="32" w:name="questions-investors-should-want-answered"/>
    <w:p>
      <w:pPr>
        <w:pStyle w:val="Heading2"/>
      </w:pPr>
      <w:r>
        <w:t xml:space="preserve">Questions investors should want answered</w:t>
      </w:r>
    </w:p>
    <w:p>
      <w:pPr>
        <w:pStyle w:val="Compact"/>
        <w:numPr>
          <w:ilvl w:val="0"/>
          <w:numId w:val="1018"/>
        </w:numPr>
      </w:pPr>
      <w:r>
        <w:rPr>
          <w:b/>
          <w:bCs/>
        </w:rPr>
        <w:t xml:space="preserve">How much deferred ARR is contracted to commence in Q4 and fiscal 2027?</w:t>
      </w:r>
    </w:p>
    <w:p>
      <w:pPr>
        <w:pStyle w:val="Compact"/>
        <w:numPr>
          <w:ilvl w:val="0"/>
          <w:numId w:val="1018"/>
        </w:numPr>
      </w:pPr>
      <w:r>
        <w:rPr>
          <w:b/>
          <w:bCs/>
        </w:rPr>
        <w:t xml:space="preserve">Has the Q4 commencement schedule changed since May?</w:t>
      </w:r>
    </w:p>
    <w:p>
      <w:pPr>
        <w:pStyle w:val="Compact"/>
        <w:numPr>
          <w:ilvl w:val="0"/>
          <w:numId w:val="1018"/>
        </w:numPr>
      </w:pPr>
      <w:r>
        <w:rPr>
          <w:b/>
          <w:bCs/>
        </w:rPr>
        <w:t xml:space="preserve">What portion of Q3 net-new ARR came from new customers, expansions, price, and competitive replacements?</w:t>
      </w:r>
    </w:p>
    <w:p>
      <w:pPr>
        <w:pStyle w:val="Compact"/>
        <w:numPr>
          <w:ilvl w:val="0"/>
          <w:numId w:val="1018"/>
        </w:numPr>
      </w:pPr>
      <w:r>
        <w:rPr>
          <w:b/>
          <w:bCs/>
        </w:rPr>
        <w:t xml:space="preserve">Are renewal rates and sales productivity still improving sequentially?</w:t>
      </w:r>
    </w:p>
    <w:p>
      <w:pPr>
        <w:pStyle w:val="Compact"/>
        <w:numPr>
          <w:ilvl w:val="0"/>
          <w:numId w:val="1018"/>
        </w:numPr>
      </w:pPr>
      <w:r>
        <w:rPr>
          <w:b/>
          <w:bCs/>
        </w:rPr>
        <w:t xml:space="preserve">Is ServiceMax now growing, stable, or still contracting?</w:t>
      </w:r>
    </w:p>
    <w:p>
      <w:pPr>
        <w:pStyle w:val="Compact"/>
        <w:numPr>
          <w:ilvl w:val="0"/>
          <w:numId w:val="1018"/>
        </w:numPr>
      </w:pPr>
      <w:r>
        <w:rPr>
          <w:b/>
          <w:bCs/>
        </w:rPr>
        <w:t xml:space="preserve">How fast are Windchill+ and Onshape growing relative to their respective product groups?</w:t>
      </w:r>
    </w:p>
    <w:p>
      <w:pPr>
        <w:pStyle w:val="Compact"/>
        <w:numPr>
          <w:ilvl w:val="0"/>
          <w:numId w:val="1018"/>
        </w:numPr>
      </w:pPr>
      <w:r>
        <w:rPr>
          <w:b/>
          <w:bCs/>
        </w:rPr>
        <w:t xml:space="preserve">Are customers paying separately for the new AI products and agents?</w:t>
      </w:r>
    </w:p>
    <w:p>
      <w:pPr>
        <w:pStyle w:val="Compact"/>
        <w:numPr>
          <w:ilvl w:val="0"/>
          <w:numId w:val="1018"/>
        </w:numPr>
      </w:pPr>
      <w:r>
        <w:rPr>
          <w:b/>
          <w:bCs/>
        </w:rPr>
        <w:t xml:space="preserve">What is the expected fiscal 2027 contribution from AI-related products?</w:t>
      </w:r>
    </w:p>
    <w:p>
      <w:pPr>
        <w:pStyle w:val="Compact"/>
        <w:numPr>
          <w:ilvl w:val="0"/>
          <w:numId w:val="1018"/>
        </w:numPr>
      </w:pPr>
      <w:r>
        <w:rPr>
          <w:b/>
          <w:bCs/>
        </w:rPr>
        <w:t xml:space="preserve">Does management still view $950 million as the appropriate normalized free-cash-flow baseline?</w:t>
      </w:r>
    </w:p>
    <w:p>
      <w:pPr>
        <w:pStyle w:val="Compact"/>
        <w:numPr>
          <w:ilvl w:val="0"/>
          <w:numId w:val="1018"/>
        </w:numPr>
      </w:pPr>
      <w:r>
        <w:rPr>
          <w:b/>
          <w:bCs/>
        </w:rPr>
        <w:t xml:space="preserve">Can ARR growth improve in fiscal 2027 without a better macro environment?</w:t>
      </w:r>
    </w:p>
    <w:p>
      <w:r>
        <w:pict>
          <v:rect style="width:0;height:1.5pt" o:hralign="center" o:hrstd="t" o:hr="t"/>
        </w:pict>
      </w:r>
    </w:p>
    <w:bookmarkEnd w:id="32"/>
    <w:bookmarkStart w:id="33" w:name="bottom-line"/>
    <w:p>
      <w:pPr>
        <w:pStyle w:val="Heading2"/>
      </w:pPr>
      <w:r>
        <w:t xml:space="preserve">Bottom line</w:t>
      </w:r>
    </w:p>
    <w:p>
      <w:pPr>
        <w:pStyle w:val="FirstParagraph"/>
      </w:pPr>
      <w:r>
        <w:t xml:space="preserve">PTC does not need a spectacular revenue beat to deliver a constructive report. It needs to show that:</w:t>
      </w:r>
    </w:p>
    <w:p>
      <w:pPr>
        <w:pStyle w:val="Compact"/>
        <w:numPr>
          <w:ilvl w:val="0"/>
          <w:numId w:val="1019"/>
        </w:numPr>
      </w:pPr>
      <w:r>
        <w:t xml:space="preserve">Q3 ARR is tracking near the upper end of guidance.</w:t>
      </w:r>
    </w:p>
    <w:p>
      <w:pPr>
        <w:pStyle w:val="Compact"/>
        <w:numPr>
          <w:ilvl w:val="0"/>
          <w:numId w:val="1019"/>
        </w:numPr>
      </w:pPr>
      <w:r>
        <w:t xml:space="preserve">Net-new ARR is growing.</w:t>
      </w:r>
    </w:p>
    <w:p>
      <w:pPr>
        <w:pStyle w:val="Compact"/>
        <w:numPr>
          <w:ilvl w:val="0"/>
          <w:numId w:val="1019"/>
        </w:numPr>
      </w:pPr>
      <w:r>
        <w:t xml:space="preserve">The Q4 step-up is supported by contracted deferred ARR.</w:t>
      </w:r>
    </w:p>
    <w:p>
      <w:pPr>
        <w:pStyle w:val="Compact"/>
        <w:numPr>
          <w:ilvl w:val="0"/>
          <w:numId w:val="1019"/>
        </w:numPr>
      </w:pPr>
      <w:r>
        <w:t xml:space="preserve">Sales productivity and renewal execution continue to improve.</w:t>
      </w:r>
    </w:p>
    <w:p>
      <w:pPr>
        <w:pStyle w:val="Compact"/>
        <w:numPr>
          <w:ilvl w:val="0"/>
          <w:numId w:val="1019"/>
        </w:numPr>
      </w:pPr>
      <w:r>
        <w:t xml:space="preserve">ServiceMax is stabilizing.</w:t>
      </w:r>
    </w:p>
    <w:p>
      <w:pPr>
        <w:pStyle w:val="Compact"/>
        <w:numPr>
          <w:ilvl w:val="0"/>
          <w:numId w:val="1019"/>
        </w:numPr>
      </w:pPr>
      <w:r>
        <w:t xml:space="preserve">Recent AI launches are strengthening demand for the core PLM, CAD, ALM, and service portfolio.</w:t>
      </w:r>
    </w:p>
    <w:p>
      <w:pPr>
        <w:pStyle w:val="FirstParagraph"/>
      </w:pPr>
      <w:r>
        <w:t xml:space="preserve">Given the stock’s substantial decline, expectations appear subdued. But the market is unlikely to reward another broad statement that the pipeline is “strong.” The key catalyst would be</w:t>
      </w:r>
      <w:r>
        <w:t xml:space="preserve"> </w:t>
      </w:r>
      <w:r>
        <w:rPr>
          <w:b/>
          <w:bCs/>
        </w:rPr>
        <w:t xml:space="preserve">specific, credible evidence that PTC is entering fiscal 2027 with higher growth already embedded in signed contracts</w:t>
      </w:r>
      <w:r>
        <w:t xml:space="preserv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ptc.com/resources/news/news-details/2026/PTC-ANNOUNCES-SECOND-FISCAL-QUARTER-2026-RESULTS/default.aspx?utm_source=openai" TargetMode="External" /><Relationship Type="http://schemas.openxmlformats.org/officeDocument/2006/relationships/hyperlink" Id="rId23" Target="https://investor.ptc.com/resources/news/news-details/2026/PTC-Unveils-a-Wave-of-Product-Innovations-to-Give-Manufacturers-New-AI-Capabilities-and-Connected-Tools-Across-the-Intelligent-Product-Lifecycle/default.aspx" TargetMode="External" /><Relationship Type="http://schemas.openxmlformats.org/officeDocument/2006/relationships/hyperlink" Id="rId9" Target="https://investor.ptc.com/resources/news/news-details/2026/PTC-to-Announce-Fiscal-Q326-Results-on-Wednesday-July-29-2026/default.aspx?utm_source=openai" TargetMode="External" /><Relationship Type="http://schemas.openxmlformats.org/officeDocument/2006/relationships/hyperlink" Id="rId14" Target="https://www.ptc.com/en/news/2026/earnings-results-q2-fy26?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ptc.com/resources/news/news-details/2026/PTC-ANNOUNCES-SECOND-FISCAL-QUARTER-2026-RESULTS/default.aspx?utm_source=openai" TargetMode="External" /><Relationship Type="http://schemas.openxmlformats.org/officeDocument/2006/relationships/hyperlink" Id="rId23" Target="https://investor.ptc.com/resources/news/news-details/2026/PTC-Unveils-a-Wave-of-Product-Innovations-to-Give-Manufacturers-New-AI-Capabilities-and-Connected-Tools-Across-the-Intelligent-Product-Lifecycle/default.aspx" TargetMode="External" /><Relationship Type="http://schemas.openxmlformats.org/officeDocument/2006/relationships/hyperlink" Id="rId9" Target="https://investor.ptc.com/resources/news/news-details/2026/PTC-to-Announce-Fiscal-Q326-Results-on-Wednesday-July-29-2026/default.aspx?utm_source=openai" TargetMode="External" /><Relationship Type="http://schemas.openxmlformats.org/officeDocument/2006/relationships/hyperlink" Id="rId14" Target="https://www.ptc.com/en/news/2026/earnings-results-q2-fy26?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2026-07-29T01:39:05Z</dcterms:created>
  <dcterms:modified xsi:type="dcterms:W3CDTF">2026-07-29T01:39:05Z</dcterms:modified>
</cp:coreProperties>
</file>

<file path=docProps/custom.xml><?xml version="1.0" encoding="utf-8"?>
<Properties xmlns="http://schemas.openxmlformats.org/officeDocument/2006/custom-properties" xmlns:vt="http://schemas.openxmlformats.org/officeDocument/2006/docPropsVTypes"/>
</file>