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ptc-nasdaq-ptc--fy26-q3-earnings-preview"/>
    <w:p>
      <w:pPr>
        <w:pStyle w:val="Heading1"/>
      </w:pPr>
      <w:r>
        <w:t xml:space="preserve">PTC (NASDAQ: PTC) — FY26 Q3 Earnings Preview</w:t>
      </w:r>
    </w:p>
    <w:p>
      <w:pPr>
        <w:pStyle w:val="BlockText"/>
      </w:pPr>
      <w:r>
        <w:rPr>
          <w:b/>
          <w:bCs/>
        </w:rPr>
        <w:t xml:space="preserve">Timing correction:</w:t>
      </w:r>
      <w:r>
        <w:t xml:space="preserve"> </w:t>
      </w:r>
      <w:r>
        <w:t xml:space="preserve">PTC reports</w:t>
      </w:r>
      <w:r>
        <w:t xml:space="preserve"> </w:t>
      </w:r>
      <w:r>
        <w:rPr>
          <w:b/>
          <w:bCs/>
        </w:rPr>
        <w:t xml:space="preserve">after the market close today, Wednesday, July 29, 2026</w:t>
      </w:r>
      <w:r>
        <w:t xml:space="preserve">, with its earnings call at</w:t>
      </w:r>
      <w:r>
        <w:t xml:space="preserve"> </w:t>
      </w:r>
      <w:r>
        <w:rPr>
          <w:b/>
          <w:bCs/>
        </w:rPr>
        <w:t xml:space="preserve">5:00 p.m. ET</w:t>
      </w:r>
      <w:r>
        <w:t xml:space="preserve">—not tomorrow.</w:t>
      </w:r>
    </w:p>
    <w:bookmarkStart w:id="9" w:name="investment-framing"/>
    <w:p>
      <w:pPr>
        <w:pStyle w:val="Heading2"/>
      </w:pPr>
      <w:r>
        <w:t xml:space="preserve">Investment framing</w:t>
      </w:r>
    </w:p>
    <w:p>
      <w:pPr>
        <w:pStyle w:val="FirstParagraph"/>
      </w:pPr>
      <w:r>
        <w:t xml:space="preserve">PTC enters fiscal Q3 with an encouraging operational setup but a high bar around execution. The central question is no longer whether the company can sustain its subscription model and cash generation; it is whether the go-to-market overhaul, product modernization cycle, and AI-led customer conversations are translating into the</w:t>
      </w:r>
      <w:r>
        <w:t xml:space="preserve"> </w:t>
      </w:r>
      <w:r>
        <w:rPr>
          <w:b/>
          <w:bCs/>
        </w:rPr>
        <w:t xml:space="preserve">second-half ARR acceleration</w:t>
      </w:r>
      <w:r>
        <w:t xml:space="preserve"> </w:t>
      </w:r>
      <w:r>
        <w:t xml:space="preserve">management has promised.</w:t>
      </w:r>
    </w:p>
    <w:p>
      <w:pPr>
        <w:pStyle w:val="BodyText"/>
      </w:pPr>
      <w:r>
        <w:t xml:space="preserve">The key KPI is</w:t>
      </w:r>
      <w:r>
        <w:t xml:space="preserve"> </w:t>
      </w:r>
      <w:r>
        <w:rPr>
          <w:b/>
          <w:bCs/>
        </w:rPr>
        <w:t xml:space="preserve">constant-currency ARR excluding the divested Kepware and ThingWorx businesses</w:t>
      </w:r>
      <w:r>
        <w:t xml:space="preserve">. Revenue and GAAP EPS will be unusually noisy because of ASC 606 contract-timing effects and the completed divestiture. Investors should prioritize ARR, net-new ARR, free cash flow, deferred ARR, and the credibility of FY27 growth commentary.</w:t>
      </w:r>
    </w:p>
    <w:bookmarkEnd w:id="9"/>
    <w:bookmarkStart w:id="10" w:name="what-ptc-guided-for-in-q3"/>
    <w:p>
      <w:pPr>
        <w:pStyle w:val="Heading2"/>
      </w:pPr>
      <w:r>
        <w:t xml:space="preserve">What PTC guided for in Q3</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Q3 FY26 guide</w:t>
            </w:r>
          </w:p>
        </w:tc>
        <w:tc>
          <w:tcPr/>
          <w:p>
            <w:pPr>
              <w:pStyle w:val="Compact"/>
            </w:pPr>
            <w:r>
              <w:t xml:space="preserve">Why it matters</w:t>
            </w:r>
          </w:p>
        </w:tc>
      </w:tr>
      <w:tr>
        <w:tc>
          <w:tcPr/>
          <w:p>
            <w:pPr>
              <w:pStyle w:val="Compact"/>
            </w:pPr>
            <w:r>
              <w:t xml:space="preserve">Constant-currency ARR growth, ex-divestitures</w:t>
            </w:r>
          </w:p>
        </w:tc>
        <w:tc>
          <w:tcPr/>
          <w:p>
            <w:pPr>
              <w:pStyle w:val="Compact"/>
              <w:jc w:val="right"/>
            </w:pPr>
            <w:r>
              <w:rPr>
                <w:b/>
                <w:bCs/>
              </w:rPr>
              <w:t xml:space="preserve">8%–9% YoY</w:t>
            </w:r>
          </w:p>
        </w:tc>
        <w:tc>
          <w:tcPr/>
          <w:p>
            <w:pPr>
              <w:pStyle w:val="Compact"/>
            </w:pPr>
            <w:r>
              <w:t xml:space="preserve">Core test of underlying recurring-growth momentum</w:t>
            </w:r>
          </w:p>
        </w:tc>
      </w:tr>
      <w:tr>
        <w:tc>
          <w:tcPr/>
          <w:p>
            <w:pPr>
              <w:pStyle w:val="Compact"/>
            </w:pPr>
            <w:r>
              <w:t xml:space="preserve">Net-new ARR</w:t>
            </w:r>
          </w:p>
        </w:tc>
        <w:tc>
          <w:tcPr/>
          <w:p>
            <w:pPr>
              <w:pStyle w:val="Compact"/>
              <w:jc w:val="right"/>
            </w:pPr>
            <m:oMath>
              <m:r>
                <m:t>40</m:t>
              </m:r>
              <m:r>
                <m:t>M</m:t>
              </m:r>
              <m:r>
                <m:rPr>
                  <m:sty m:val="p"/>
                </m:rPr>
                <m:t>–</m:t>
              </m:r>
            </m:oMath>
            <w:r>
              <w:rPr>
                <w:b/>
                <w:bCs/>
              </w:rPr>
              <w:t xml:space="preserve">55M</w:t>
            </w:r>
          </w:p>
        </w:tc>
        <w:tc>
          <w:tcPr/>
          <w:p>
            <w:pPr>
              <w:pStyle w:val="Compact"/>
            </w:pPr>
            <w:r>
              <w:t xml:space="preserve">The cleanest quarterly measure of bookings-to-ARR conversion</w:t>
            </w:r>
          </w:p>
        </w:tc>
      </w:tr>
      <w:tr>
        <w:tc>
          <w:tcPr/>
          <w:p>
            <w:pPr>
              <w:pStyle w:val="Compact"/>
            </w:pPr>
            <w:r>
              <w:t xml:space="preserve">Revenue</w:t>
            </w:r>
          </w:p>
        </w:tc>
        <w:tc>
          <w:tcPr/>
          <w:p>
            <w:pPr>
              <w:pStyle w:val="Compact"/>
              <w:jc w:val="right"/>
            </w:pPr>
            <m:oMath>
              <m:r>
                <m:t>580</m:t>
              </m:r>
              <m:r>
                <m:t>M</m:t>
              </m:r>
              <m:r>
                <m:rPr>
                  <m:sty m:val="p"/>
                </m:rPr>
                <m:t>–</m:t>
              </m:r>
            </m:oMath>
            <w:r>
              <w:rPr>
                <w:b/>
                <w:bCs/>
              </w:rPr>
              <w:t xml:space="preserve">640M</w:t>
            </w:r>
          </w:p>
        </w:tc>
        <w:tc>
          <w:tcPr/>
          <w:p>
            <w:pPr>
              <w:pStyle w:val="Compact"/>
            </w:pPr>
            <w:r>
              <w:t xml:space="preserve">Less dependable than ARR because contract mix/duration affect ASC 606 recognition</w:t>
            </w:r>
          </w:p>
        </w:tc>
      </w:tr>
      <w:tr>
        <w:tc>
          <w:tcPr/>
          <w:p>
            <w:pPr>
              <w:pStyle w:val="Compact"/>
            </w:pPr>
            <w:r>
              <w:t xml:space="preserve">Free cash flow</w:t>
            </w:r>
          </w:p>
        </w:tc>
        <w:tc>
          <w:tcPr/>
          <w:p>
            <w:pPr>
              <w:pStyle w:val="Compact"/>
              <w:jc w:val="right"/>
            </w:pPr>
            <m:oMath>
              <m:r>
                <m:t>240</m:t>
              </m:r>
              <m:r>
                <m:t>M</m:t>
              </m:r>
              <m:r>
                <m:rPr>
                  <m:sty m:val="p"/>
                </m:rPr>
                <m:t>–</m:t>
              </m:r>
            </m:oMath>
            <w:r>
              <w:rPr>
                <w:b/>
                <w:bCs/>
              </w:rPr>
              <w:t xml:space="preserve">245M</w:t>
            </w:r>
          </w:p>
        </w:tc>
        <w:tc>
          <w:tcPr/>
          <w:p>
            <w:pPr>
              <w:pStyle w:val="Compact"/>
            </w:pPr>
            <w:r>
              <w:t xml:space="preserve">Important, though Q4 is expected to absorb substantial cash-tax and divestiture-related items</w:t>
            </w:r>
          </w:p>
        </w:tc>
      </w:tr>
      <w:tr>
        <w:tc>
          <w:tcPr/>
          <w:p>
            <w:pPr>
              <w:pStyle w:val="Compact"/>
            </w:pPr>
            <w:r>
              <w:t xml:space="preserve">Non-GAAP EPS</w:t>
            </w:r>
          </w:p>
        </w:tc>
        <w:tc>
          <w:tcPr/>
          <w:p>
            <w:pPr>
              <w:pStyle w:val="Compact"/>
              <w:jc w:val="right"/>
            </w:pPr>
            <m:oMath>
              <m:r>
                <m:t>1.24</m:t>
              </m:r>
              <m:r>
                <m:rPr>
                  <m:sty m:val="p"/>
                </m:rPr>
                <m:t>–</m:t>
              </m:r>
            </m:oMath>
            <w:r>
              <w:rPr>
                <w:b/>
                <w:bCs/>
              </w:rPr>
              <w:t xml:space="preserve">1.78</w:t>
            </w:r>
          </w:p>
        </w:tc>
        <w:tc>
          <w:tcPr/>
          <w:p>
            <w:pPr>
              <w:pStyle w:val="Compact"/>
            </w:pPr>
            <w:r>
              <w:t xml:space="preserve">Supported by operating execution and a lower diluted share count from buybacks</w:t>
            </w:r>
          </w:p>
        </w:tc>
      </w:tr>
      <w:tr>
        <w:tc>
          <w:tcPr/>
          <w:p>
            <w:pPr>
              <w:pStyle w:val="Compact"/>
            </w:pPr>
            <w:r>
              <w:t xml:space="preserve">GAAP EPS</w:t>
            </w:r>
          </w:p>
        </w:tc>
        <w:tc>
          <w:tcPr/>
          <w:p>
            <w:pPr>
              <w:pStyle w:val="Compact"/>
              <w:jc w:val="right"/>
            </w:pPr>
            <m:oMath>
              <m:r>
                <m:t>0.68</m:t>
              </m:r>
              <m:r>
                <m:rPr>
                  <m:sty m:val="p"/>
                </m:rPr>
                <m:t>–</m:t>
              </m:r>
            </m:oMath>
            <w:r>
              <w:rPr>
                <w:b/>
                <w:bCs/>
              </w:rPr>
              <w:t xml:space="preserve">1.25</w:t>
            </w:r>
          </w:p>
        </w:tc>
        <w:tc>
          <w:tcPr/>
          <w:p>
            <w:pPr>
              <w:pStyle w:val="Compact"/>
            </w:pPr>
            <w:r>
              <w:t xml:space="preserve">Not the preferred comparison metric given transaction-related items</w:t>
            </w:r>
          </w:p>
        </w:tc>
      </w:tr>
    </w:tbl>
    <w:p>
      <w:pPr>
        <w:pStyle w:val="BodyText"/>
      </w:pPr>
      <w:r>
        <w:t xml:space="preserve">Management maintained its FY26 outlook for</w:t>
      </w:r>
      <w:r>
        <w:t xml:space="preserve"> </w:t>
      </w:r>
      <w:r>
        <w:rPr>
          <w:b/>
          <w:bCs/>
        </w:rPr>
        <w:t xml:space="preserve">7.5%–9.5% constant-currency ARR growth excluding divested businesses</w:t>
      </w:r>
      <w:r>
        <w:t xml:space="preserve"> </w:t>
      </w:r>
      <w:r>
        <w:t xml:space="preserve">and approximately</w:t>
      </w:r>
      <w:r>
        <w:t xml:space="preserve"> </w:t>
      </w:r>
      <w:r>
        <w:rPr>
          <w:b/>
          <w:bCs/>
        </w:rPr>
        <w:t xml:space="preserve">$850M of free cash flow</w:t>
      </w:r>
      <w:r>
        <w:t xml:space="preserve">.</w:t>
      </w:r>
    </w:p>
    <w:bookmarkEnd w:id="10"/>
    <w:bookmarkStart w:id="14" w:name="why-this-quarter-matters"/>
    <w:p>
      <w:pPr>
        <w:pStyle w:val="Heading2"/>
      </w:pPr>
      <w:r>
        <w:t xml:space="preserve">Why this quarter matters</w:t>
      </w:r>
    </w:p>
    <w:bookmarkStart w:id="11" w:name="Xa973761e82fc74d7b215daeadec69dee903dc88"/>
    <w:p>
      <w:pPr>
        <w:pStyle w:val="Heading3"/>
      </w:pPr>
      <w:r>
        <w:t xml:space="preserve">1. ARR needs to validate the second-half inflection</w:t>
      </w:r>
    </w:p>
    <w:p>
      <w:pPr>
        <w:pStyle w:val="FirstParagraph"/>
      </w:pPr>
      <w:r>
        <w:t xml:space="preserve">In Q2, PTC delivered</w:t>
      </w:r>
      <w:r>
        <w:t xml:space="preserve"> </w:t>
      </w:r>
      <w:r>
        <w:rPr>
          <w:b/>
          <w:bCs/>
        </w:rPr>
        <w:t xml:space="preserve">8.5% constant-currency ARR growth excluding Kepware and ThingWorx</w:t>
      </w:r>
      <w:r>
        <w:t xml:space="preserve">, at the high end of its guidance range. Management said Q3 net-new ARR should improve year over year and that Q4 should show a more meaningful step-up, helped by deferred ARR already embedded in multi-year contracts.</w:t>
      </w:r>
    </w:p>
    <w:p>
      <w:pPr>
        <w:pStyle w:val="BodyText"/>
      </w:pPr>
      <w:r>
        <w:t xml:space="preserve">The setup is constructive, but it also creates a narrow path:</w:t>
      </w:r>
    </w:p>
    <w:p>
      <w:pPr>
        <w:pStyle w:val="Compact"/>
        <w:numPr>
          <w:ilvl w:val="0"/>
          <w:numId w:val="1001"/>
        </w:numPr>
      </w:pPr>
      <w:r>
        <w:t xml:space="preserve">Q3 needs to land within or above the</w:t>
      </w:r>
      <w:r>
        <w:t xml:space="preserve"> </w:t>
      </w:r>
      <m:oMath>
        <m:r>
          <m:t>40</m:t>
        </m:r>
        <m:r>
          <m:t>M</m:t>
        </m:r>
        <m:r>
          <m:rPr>
            <m:sty m:val="p"/>
          </m:rPr>
          <m:t>–</m:t>
        </m:r>
      </m:oMath>
      <w:r>
        <w:rPr>
          <w:b/>
          <w:bCs/>
        </w:rPr>
        <w:t xml:space="preserve">55M net-new ARR</w:t>
      </w:r>
      <w:r>
        <w:t xml:space="preserve"> </w:t>
      </w:r>
      <w:r>
        <w:t xml:space="preserve">range.</w:t>
      </w:r>
    </w:p>
    <w:p>
      <w:pPr>
        <w:pStyle w:val="Compact"/>
        <w:numPr>
          <w:ilvl w:val="0"/>
          <w:numId w:val="1001"/>
        </w:numPr>
      </w:pPr>
      <w:r>
        <w:t xml:space="preserve">Commentary must support the planned Q4 step-up rather than simply defer it again.</w:t>
      </w:r>
    </w:p>
    <w:p>
      <w:pPr>
        <w:pStyle w:val="Compact"/>
        <w:numPr>
          <w:ilvl w:val="0"/>
          <w:numId w:val="1001"/>
        </w:numPr>
      </w:pPr>
      <w:r>
        <w:t xml:space="preserve">Investors will focus on whether incremental deferred ARR is truly durable demand or mainly the timing effect of longer-duration renewals.</w:t>
      </w:r>
    </w:p>
    <w:p>
      <w:pPr>
        <w:pStyle w:val="FirstParagraph"/>
      </w:pPr>
      <w:r>
        <w:t xml:space="preserve">At the Q2 call, management said the implied second-half net-new ARR requirement was about</w:t>
      </w:r>
      <w:r>
        <w:t xml:space="preserve"> </w:t>
      </w:r>
      <m:oMath>
        <m:r>
          <m:t>127</m:t>
        </m:r>
        <m:r>
          <m:t>M</m:t>
        </m:r>
        <m:r>
          <m:rPr>
            <m:sty m:val="p"/>
          </m:rPr>
          <m:t>*</m:t>
        </m:r>
        <m:r>
          <m:rPr>
            <m:sty m:val="p"/>
          </m:rPr>
          <m:t>*</m:t>
        </m:r>
        <m:r>
          <m:rPr>
            <m:sty m:val="p"/>
          </m:rPr>
          <m:t>,</m:t>
        </m:r>
        <m:r>
          <m:t>o</m:t>
        </m:r>
        <m:r>
          <m:t>n</m:t>
        </m:r>
        <m:r>
          <m:t>l</m:t>
        </m:r>
        <m:r>
          <m:t>y</m:t>
        </m:r>
        <m:r>
          <m:t>a</m:t>
        </m:r>
        <m:r>
          <m:t>r</m:t>
        </m:r>
        <m:r>
          <m:t>o</m:t>
        </m:r>
        <m:r>
          <m:t>u</m:t>
        </m:r>
        <m:r>
          <m:t>n</m:t>
        </m:r>
        <m:r>
          <m:t>d</m:t>
        </m:r>
        <m:r>
          <m:rPr>
            <m:sty m:val="p"/>
          </m:rPr>
          <m:t>*</m:t>
        </m:r>
        <m:r>
          <m:rPr>
            <m:sty m:val="p"/>
          </m:rPr>
          <m:t>*</m:t>
        </m:r>
      </m:oMath>
      <w:r>
        <w:rPr>
          <w:b/>
          <w:bCs/>
        </w:rPr>
        <w:t xml:space="preserve">7M above</w:t>
      </w:r>
      <w:r>
        <w:t xml:space="preserve"> </w:t>
      </w:r>
      <w:r>
        <w:t xml:space="preserve">the prior-year second half. That makes the full-year plan attainable—but only if the pipeline conversion and deferred-ARR assumptions hold.</w:t>
      </w:r>
    </w:p>
    <w:bookmarkEnd w:id="11"/>
    <w:bookmarkStart w:id="12" w:name="X8daf583e578e03b54f1e6280d1e0dad76504046"/>
    <w:p>
      <w:pPr>
        <w:pStyle w:val="Heading3"/>
      </w:pPr>
      <w:r>
        <w:t xml:space="preserve">2. The business is now more focused, but comparisons are messy</w:t>
      </w:r>
    </w:p>
    <w:p>
      <w:pPr>
        <w:pStyle w:val="FirstParagraph"/>
      </w:pPr>
      <w:r>
        <w:t xml:space="preserve">PTC completed the sale of</w:t>
      </w:r>
      <w:r>
        <w:t xml:space="preserve"> </w:t>
      </w:r>
      <w:r>
        <w:rPr>
          <w:b/>
          <w:bCs/>
        </w:rPr>
        <w:t xml:space="preserve">Kepware and ThingWorx on March 13, 2026</w:t>
      </w:r>
      <w:r>
        <w:t xml:space="preserve">, receiving $523M at closing and recognizing a roughly $463M pre-tax gain. The transaction sharpens the strategic focus on CAD, PLM, ALM and service lifecycle management, but it complicates year-over-year reported comparisons.</w:t>
      </w:r>
    </w:p>
    <w:p>
      <w:pPr>
        <w:pStyle w:val="BodyText"/>
      </w:pPr>
      <w:r>
        <w:t xml:space="preserve">For Q3, investors should use the following hierarchy:</w:t>
      </w:r>
    </w:p>
    <w:p>
      <w:pPr>
        <w:pStyle w:val="Compact"/>
        <w:numPr>
          <w:ilvl w:val="0"/>
          <w:numId w:val="1002"/>
        </w:numPr>
      </w:pPr>
      <w:r>
        <w:rPr>
          <w:b/>
          <w:bCs/>
        </w:rPr>
        <w:t xml:space="preserve">ARR growth excluding the divested businesses</w:t>
      </w:r>
    </w:p>
    <w:p>
      <w:pPr>
        <w:pStyle w:val="Compact"/>
        <w:numPr>
          <w:ilvl w:val="0"/>
          <w:numId w:val="1002"/>
        </w:numPr>
      </w:pPr>
      <w:r>
        <w:rPr>
          <w:b/>
          <w:bCs/>
        </w:rPr>
        <w:t xml:space="preserve">Net-new ARR and deferred ARR</w:t>
      </w:r>
    </w:p>
    <w:p>
      <w:pPr>
        <w:pStyle w:val="Compact"/>
        <w:numPr>
          <w:ilvl w:val="0"/>
          <w:numId w:val="1002"/>
        </w:numPr>
      </w:pPr>
      <w:r>
        <w:rPr>
          <w:b/>
          <w:bCs/>
        </w:rPr>
        <w:t xml:space="preserve">Free cash flow</w:t>
      </w:r>
    </w:p>
    <w:p>
      <w:pPr>
        <w:pStyle w:val="Compact"/>
        <w:numPr>
          <w:ilvl w:val="0"/>
          <w:numId w:val="1002"/>
        </w:numPr>
      </w:pPr>
      <w:r>
        <w:rPr>
          <w:b/>
          <w:bCs/>
        </w:rPr>
        <w:t xml:space="preserve">Non-GAAP operating margin and EPS</w:t>
      </w:r>
    </w:p>
    <w:p>
      <w:pPr>
        <w:pStyle w:val="Compact"/>
        <w:numPr>
          <w:ilvl w:val="0"/>
          <w:numId w:val="1002"/>
        </w:numPr>
      </w:pPr>
      <w:r>
        <w:t xml:space="preserve">Reported revenue and GAAP EPS, which can be distorted by contract timing and transaction effects</w:t>
      </w:r>
    </w:p>
    <w:p>
      <w:pPr>
        <w:pStyle w:val="FirstParagraph"/>
      </w:pPr>
      <w:r>
        <w:t xml:space="preserve">This is especially important because PTC’s on-premises subscription arrangements can recognize a substantial license component upfront under ASC 606. A favorable renewal mix can create a revenue/EPS beat without implying a commensurate change in recurring demand.</w:t>
      </w:r>
    </w:p>
    <w:bookmarkEnd w:id="12"/>
    <w:bookmarkStart w:id="13" w:name="Xf04798bf339eea2cc9c8cf57d48d8c9d7d7b420"/>
    <w:p>
      <w:pPr>
        <w:pStyle w:val="Heading3"/>
      </w:pPr>
      <w:r>
        <w:t xml:space="preserve">3. AI is a sales catalyst today; material monetization remains a FY27-plus story</w:t>
      </w:r>
    </w:p>
    <w:p>
      <w:pPr>
        <w:pStyle w:val="FirstParagraph"/>
      </w:pPr>
      <w:r>
        <w:t xml:space="preserve">Management’s strategic narrative has shifted toward the “Intelligent Product Lifecycle”: PTC wants to be the system of record for product data and the intelligence layer that enables AI-driven engineering and operational workflows.</w:t>
      </w:r>
    </w:p>
    <w:p>
      <w:pPr>
        <w:pStyle w:val="BodyText"/>
      </w:pPr>
      <w:r>
        <w:t xml:space="preserve">The near-term bull case is not necessarily direct AI revenue. Rather, AI is intended to increase customer urgency to:</w:t>
      </w:r>
    </w:p>
    <w:p>
      <w:pPr>
        <w:pStyle w:val="Compact"/>
        <w:numPr>
          <w:ilvl w:val="0"/>
          <w:numId w:val="1003"/>
        </w:numPr>
      </w:pPr>
      <w:r>
        <w:t xml:space="preserve">modernize product-data environments;</w:t>
      </w:r>
    </w:p>
    <w:p>
      <w:pPr>
        <w:pStyle w:val="Compact"/>
        <w:numPr>
          <w:ilvl w:val="0"/>
          <w:numId w:val="1003"/>
        </w:numPr>
      </w:pPr>
      <w:r>
        <w:t xml:space="preserve">consolidate PLM estates around</w:t>
      </w:r>
      <w:r>
        <w:t xml:space="preserve"> </w:t>
      </w:r>
      <w:r>
        <w:rPr>
          <w:b/>
          <w:bCs/>
        </w:rPr>
        <w:t xml:space="preserve">Windchill</w:t>
      </w:r>
      <w:r>
        <w:t xml:space="preserve">;</w:t>
      </w:r>
    </w:p>
    <w:p>
      <w:pPr>
        <w:pStyle w:val="Compact"/>
        <w:numPr>
          <w:ilvl w:val="0"/>
          <w:numId w:val="1003"/>
        </w:numPr>
      </w:pPr>
      <w:r>
        <w:t xml:space="preserve">adopt cloud offerings such as</w:t>
      </w:r>
      <w:r>
        <w:t xml:space="preserve"> </w:t>
      </w:r>
      <w:r>
        <w:rPr>
          <w:b/>
          <w:bCs/>
        </w:rPr>
        <w:t xml:space="preserve">Windchill+</w:t>
      </w:r>
      <w:r>
        <w:t xml:space="preserve">;</w:t>
      </w:r>
    </w:p>
    <w:p>
      <w:pPr>
        <w:pStyle w:val="Compact"/>
        <w:numPr>
          <w:ilvl w:val="0"/>
          <w:numId w:val="1003"/>
        </w:numPr>
      </w:pPr>
      <w:r>
        <w:t xml:space="preserve">expand usage of</w:t>
      </w:r>
      <w:r>
        <w:t xml:space="preserve"> </w:t>
      </w:r>
      <w:r>
        <w:rPr>
          <w:b/>
          <w:bCs/>
        </w:rPr>
        <w:t xml:space="preserve">Codebeamer</w:t>
      </w:r>
      <w:r>
        <w:t xml:space="preserve">,</w:t>
      </w:r>
      <w:r>
        <w:t xml:space="preserve"> </w:t>
      </w:r>
      <w:r>
        <w:rPr>
          <w:b/>
          <w:bCs/>
        </w:rPr>
        <w:t xml:space="preserve">Creo</w:t>
      </w:r>
      <w:r>
        <w:t xml:space="preserve">,</w:t>
      </w:r>
      <w:r>
        <w:t xml:space="preserve"> </w:t>
      </w:r>
      <w:r>
        <w:rPr>
          <w:b/>
          <w:bCs/>
        </w:rPr>
        <w:t xml:space="preserve">Onshape</w:t>
      </w:r>
      <w:r>
        <w:t xml:space="preserve">, Arena and ServiceMax.</w:t>
      </w:r>
    </w:p>
    <w:p>
      <w:pPr>
        <w:pStyle w:val="FirstParagraph"/>
      </w:pPr>
      <w:r>
        <w:t xml:space="preserve">Management cited customer interest and early paid AI expansion opportunities, but acknowledged that AI monetization during FY27 is likely to begin modestly. Thus, investors should look for evidence that AI is improving pipeline quality, deal size, competitive displacement, platform adoption, and renewal/expansion behavior—not expect a major standalone AI revenue contribution this quarter.</w:t>
      </w:r>
    </w:p>
    <w:bookmarkEnd w:id="13"/>
    <w:bookmarkEnd w:id="14"/>
    <w:bookmarkStart w:id="15" w:name="what-was-working-in-q2"/>
    <w:p>
      <w:pPr>
        <w:pStyle w:val="Heading2"/>
      </w:pPr>
      <w:r>
        <w:t xml:space="preserve">What was working in Q2</w:t>
      </w:r>
    </w:p>
    <w:p>
      <w:pPr>
        <w:pStyle w:val="FirstParagraph"/>
      </w:pPr>
      <w:r>
        <w:t xml:space="preserve">PTC’s Q2 results gave management a credible basis for optimism:</w:t>
      </w:r>
    </w:p>
    <w:p>
      <w:pPr>
        <w:pStyle w:val="Compact"/>
        <w:numPr>
          <w:ilvl w:val="0"/>
          <w:numId w:val="1004"/>
        </w:numPr>
      </w:pPr>
      <w:r>
        <w:t xml:space="preserve">ARR excluding divested businesses reached</w:t>
      </w:r>
      <w:r>
        <w:t xml:space="preserve"> </w:t>
      </w:r>
      <w:r>
        <w:rPr>
          <w:b/>
          <w:bCs/>
        </w:rPr>
        <w:t xml:space="preserve">$2.388B</w:t>
      </w:r>
      <w:r>
        <w:t xml:space="preserve"> </w:t>
      </w:r>
      <w:r>
        <w:t xml:space="preserve">on a constant-currency basis, up</w:t>
      </w:r>
      <w:r>
        <w:t xml:space="preserve"> </w:t>
      </w:r>
      <w:r>
        <w:rPr>
          <w:b/>
          <w:bCs/>
        </w:rPr>
        <w:t xml:space="preserve">8.5% YoY</w:t>
      </w:r>
      <w:r>
        <w:t xml:space="preserve">.</w:t>
      </w:r>
    </w:p>
    <w:p>
      <w:pPr>
        <w:pStyle w:val="Compact"/>
        <w:numPr>
          <w:ilvl w:val="0"/>
          <w:numId w:val="1004"/>
        </w:numPr>
      </w:pPr>
      <w:r>
        <w:t xml:space="preserve">Free cash flow rose</w:t>
      </w:r>
      <w:r>
        <w:t xml:space="preserve"> </w:t>
      </w:r>
      <w:r>
        <w:rPr>
          <w:b/>
          <w:bCs/>
        </w:rPr>
        <w:t xml:space="preserve">14% YoY</w:t>
      </w:r>
      <w:r>
        <w:t xml:space="preserve"> </w:t>
      </w:r>
      <w:r>
        <w:t xml:space="preserve">to</w:t>
      </w:r>
      <w:r>
        <w:t xml:space="preserve"> </w:t>
      </w:r>
      <w:r>
        <w:rPr>
          <w:b/>
          <w:bCs/>
        </w:rPr>
        <w:t xml:space="preserve">$318M</w:t>
      </w:r>
      <w:r>
        <w:t xml:space="preserve">, above guidance.</w:t>
      </w:r>
    </w:p>
    <w:p>
      <w:pPr>
        <w:pStyle w:val="Compact"/>
        <w:numPr>
          <w:ilvl w:val="0"/>
          <w:numId w:val="1004"/>
        </w:numPr>
      </w:pPr>
      <w:r>
        <w:t xml:space="preserve">Non-GAAP operating margin expanded to</w:t>
      </w:r>
      <w:r>
        <w:t xml:space="preserve"> </w:t>
      </w:r>
      <w:r>
        <w:rPr>
          <w:b/>
          <w:bCs/>
        </w:rPr>
        <w:t xml:space="preserve">53.0%</w:t>
      </w:r>
      <w:r>
        <w:t xml:space="preserve">, from 47.0% a year earlier.</w:t>
      </w:r>
    </w:p>
    <w:p>
      <w:pPr>
        <w:pStyle w:val="Compact"/>
        <w:numPr>
          <w:ilvl w:val="0"/>
          <w:numId w:val="1004"/>
        </w:numPr>
      </w:pPr>
      <w:r>
        <w:t xml:space="preserve">Ex-divestiture PLM ARR grew</w:t>
      </w:r>
      <w:r>
        <w:t xml:space="preserve"> </w:t>
      </w:r>
      <w:r>
        <w:rPr>
          <w:b/>
          <w:bCs/>
        </w:rPr>
        <w:t xml:space="preserve">9% constant currency</w:t>
      </w:r>
      <w:r>
        <w:t xml:space="preserve">, led by Windchill and Codebeamer.</w:t>
      </w:r>
    </w:p>
    <w:p>
      <w:pPr>
        <w:pStyle w:val="Compact"/>
        <w:numPr>
          <w:ilvl w:val="0"/>
          <w:numId w:val="1004"/>
        </w:numPr>
      </w:pPr>
      <w:r>
        <w:t xml:space="preserve">CAD ARR grew</w:t>
      </w:r>
      <w:r>
        <w:t xml:space="preserve"> </w:t>
      </w:r>
      <w:r>
        <w:rPr>
          <w:b/>
          <w:bCs/>
        </w:rPr>
        <w:t xml:space="preserve">8% constant currency</w:t>
      </w:r>
      <w:r>
        <w:t xml:space="preserve">, led by Creo.</w:t>
      </w:r>
    </w:p>
    <w:p>
      <w:pPr>
        <w:pStyle w:val="Compact"/>
        <w:numPr>
          <w:ilvl w:val="0"/>
          <w:numId w:val="1004"/>
        </w:numPr>
      </w:pPr>
      <w:r>
        <w:t xml:space="preserve">Management described stronger renewal rates, better sales-rep productivity, a higher-quality pipeline, and improved product-release cadence.</w:t>
      </w:r>
    </w:p>
    <w:p>
      <w:pPr>
        <w:pStyle w:val="FirstParagraph"/>
      </w:pPr>
      <w:r>
        <w:t xml:space="preserve">The Q3 report needs to show that these indicators have moved from management commentary into a sustained ARR outcome.</w:t>
      </w:r>
    </w:p>
    <w:bookmarkEnd w:id="15"/>
    <w:bookmarkStart w:id="16" w:name="X5214a80d759451fff90ec3f0fd66ca72c2d1082"/>
    <w:p>
      <w:pPr>
        <w:pStyle w:val="Heading2"/>
      </w:pPr>
      <w:r>
        <w:t xml:space="preserve">Capital return is a meaningful support—but not a substitute for growth</w:t>
      </w:r>
    </w:p>
    <w:p>
      <w:pPr>
        <w:pStyle w:val="FirstParagraph"/>
      </w:pPr>
      <w:r>
        <w:t xml:space="preserve">PTC repurchased</w:t>
      </w:r>
      <w:r>
        <w:t xml:space="preserve"> </w:t>
      </w:r>
      <w:r>
        <w:rPr>
          <w:b/>
          <w:bCs/>
        </w:rPr>
        <w:t xml:space="preserve">$626M</w:t>
      </w:r>
      <w:r>
        <w:t xml:space="preserve"> </w:t>
      </w:r>
      <w:r>
        <w:t xml:space="preserve">of stock in Q2, including a $375M accelerated share repurchase funded with after-tax divestiture proceeds. It planned another</w:t>
      </w:r>
      <w:r>
        <w:t xml:space="preserve"> </w:t>
      </w:r>
      <w:r>
        <w:rPr>
          <w:b/>
          <w:bCs/>
        </w:rPr>
        <w:t xml:space="preserve">approximately</w:t>
      </w:r>
      <w:r>
        <w:rPr>
          <w:b/>
          <w:bCs/>
        </w:rPr>
        <w:t xml:space="preserve"> </w:t>
      </w:r>
      <m:oMath>
        <m:r>
          <m:t>250</m:t>
        </m:r>
        <m:r>
          <m:t>M</m:t>
        </m:r>
        <m:r>
          <m:rPr>
            <m:sty m:val="p"/>
          </m:rPr>
          <m:t>*</m:t>
        </m:r>
        <m:r>
          <m:rPr>
            <m:sty m:val="p"/>
          </m:rPr>
          <m:t>*</m:t>
        </m:r>
        <m:r>
          <m:t>o</m:t>
        </m:r>
        <m:r>
          <m:t>f</m:t>
        </m:r>
        <m:r>
          <m:t>Q</m:t>
        </m:r>
        <m:r>
          <m:t>3</m:t>
        </m:r>
        <m:r>
          <m:t>r</m:t>
        </m:r>
        <m:r>
          <m:t>e</m:t>
        </m:r>
        <m:r>
          <m:t>p</m:t>
        </m:r>
        <m:r>
          <m:t>u</m:t>
        </m:r>
        <m:r>
          <m:t>r</m:t>
        </m:r>
        <m:r>
          <m:t>c</m:t>
        </m:r>
        <m:r>
          <m:t>h</m:t>
        </m:r>
        <m:r>
          <m:t>a</m:t>
        </m:r>
        <m:r>
          <m:t>s</m:t>
        </m:r>
        <m:r>
          <m:t>e</m:t>
        </m:r>
        <m:r>
          <m:t>s</m:t>
        </m:r>
        <m:r>
          <m:t>a</m:t>
        </m:r>
        <m:r>
          <m:t>n</m:t>
        </m:r>
        <m:r>
          <m:t>d</m:t>
        </m:r>
        <m:r>
          <m:t>e</m:t>
        </m:r>
        <m:r>
          <m:t>x</m:t>
        </m:r>
        <m:r>
          <m:t>p</m:t>
        </m:r>
        <m:r>
          <m:t>e</m:t>
        </m:r>
        <m:r>
          <m:t>c</m:t>
        </m:r>
        <m:r>
          <m:t>t</m:t>
        </m:r>
        <m:r>
          <m:t>s</m:t>
        </m:r>
        <m:r>
          <m:t>F</m:t>
        </m:r>
        <m:r>
          <m:t>Y</m:t>
        </m:r>
        <m:r>
          <m:t>26</m:t>
        </m:r>
        <m:r>
          <m:t>r</m:t>
        </m:r>
        <m:r>
          <m:t>e</m:t>
        </m:r>
        <m:r>
          <m:t>p</m:t>
        </m:r>
        <m:r>
          <m:t>u</m:t>
        </m:r>
        <m:r>
          <m:t>r</m:t>
        </m:r>
        <m:r>
          <m:t>c</m:t>
        </m:r>
        <m:r>
          <m:t>h</m:t>
        </m:r>
        <m:r>
          <m:t>a</m:t>
        </m:r>
        <m:r>
          <m:t>s</m:t>
        </m:r>
        <m:r>
          <m:t>e</m:t>
        </m:r>
        <m:r>
          <m:t>s</m:t>
        </m:r>
        <m:r>
          <m:t>o</m:t>
        </m:r>
        <m:r>
          <m:t>f</m:t>
        </m:r>
        <m:r>
          <m:rPr>
            <m:sty m:val="p"/>
          </m:rPr>
          <m:t>*</m:t>
        </m:r>
        <m:r>
          <m:rPr>
            <m:sty m:val="p"/>
          </m:rPr>
          <m:t>*</m:t>
        </m:r>
      </m:oMath>
      <w:r>
        <w:rPr>
          <w:b/>
          <w:bCs/>
        </w:rPr>
        <w:t xml:space="preserve">1.225B–$1.325B</w:t>
      </w:r>
      <w:r>
        <w:t xml:space="preserve">.</w:t>
      </w:r>
    </w:p>
    <w:p>
      <w:pPr>
        <w:pStyle w:val="BodyText"/>
      </w:pPr>
      <w:r>
        <w:t xml:space="preserve">That is significant for per-share earnings: management expected Q3 diluted shares of approximately</w:t>
      </w:r>
      <w:r>
        <w:t xml:space="preserve"> </w:t>
      </w:r>
      <w:r>
        <w:rPr>
          <w:b/>
          <w:bCs/>
        </w:rPr>
        <w:t xml:space="preserve">115M–116M</w:t>
      </w:r>
      <w:r>
        <w:t xml:space="preserve">, versus</w:t>
      </w:r>
      <w:r>
        <w:t xml:space="preserve"> </w:t>
      </w:r>
      <w:r>
        <w:rPr>
          <w:b/>
          <w:bCs/>
        </w:rPr>
        <w:t xml:space="preserve">120M</w:t>
      </w:r>
      <w:r>
        <w:t xml:space="preserve"> </w:t>
      </w:r>
      <w:r>
        <w:t xml:space="preserve">in Q3 FY25. The board has also authorized a new</w:t>
      </w:r>
      <w:r>
        <w:t xml:space="preserve"> </w:t>
      </w:r>
      <w:r>
        <w:rPr>
          <w:b/>
          <w:bCs/>
        </w:rPr>
        <w:t xml:space="preserve">$2B</w:t>
      </w:r>
      <w:r>
        <w:t xml:space="preserve"> </w:t>
      </w:r>
      <w:r>
        <w:t xml:space="preserve">repurchase program for FY27–FY28.</w:t>
      </w:r>
    </w:p>
    <w:p>
      <w:pPr>
        <w:pStyle w:val="BodyText"/>
      </w:pPr>
      <w:r>
        <w:t xml:space="preserve">The favorable interpretation is that PTC is returning excess cash while maintaining investments in its product roadmap. The counterpoint is that the market will ultimately require organic ARR growth to justify sustained valuation support; buybacks can amplify EPS but cannot replace bookings execution.</w:t>
      </w:r>
    </w:p>
    <w:bookmarkEnd w:id="16"/>
    <w:bookmarkStart w:id="17" w:name="Xaded046a135b38ad4dce10ffb40a5106ef4343b"/>
    <w:p>
      <w:pPr>
        <w:pStyle w:val="Heading2"/>
      </w:pPr>
      <w:r>
        <w:t xml:space="preserve">Free cash flow: strong full-year result, weak implied Q4 cadence</w:t>
      </w:r>
    </w:p>
    <w:p>
      <w:pPr>
        <w:pStyle w:val="FirstParagraph"/>
      </w:pPr>
      <w:r>
        <w:t xml:space="preserve">PTC generated</w:t>
      </w:r>
      <w:r>
        <w:t xml:space="preserve"> </w:t>
      </w:r>
      <m:oMath>
        <m:r>
          <m:t>586</m:t>
        </m:r>
        <m:r>
          <m:t>M</m:t>
        </m:r>
        <m:r>
          <m:rPr>
            <m:sty m:val="p"/>
          </m:rPr>
          <m:t>*</m:t>
        </m:r>
        <m:r>
          <m:rPr>
            <m:sty m:val="p"/>
          </m:rPr>
          <m:t>*</m:t>
        </m:r>
        <m:r>
          <m:t>o</m:t>
        </m:r>
        <m:r>
          <m:t>f</m:t>
        </m:r>
        <m:r>
          <m:t>f</m:t>
        </m:r>
        <m:r>
          <m:t>r</m:t>
        </m:r>
        <m:r>
          <m:t>e</m:t>
        </m:r>
        <m:r>
          <m:t>e</m:t>
        </m:r>
        <m:r>
          <m:t>c</m:t>
        </m:r>
        <m:r>
          <m:t>a</m:t>
        </m:r>
        <m:r>
          <m:t>s</m:t>
        </m:r>
        <m:r>
          <m:t>h</m:t>
        </m:r>
        <m:r>
          <m:t>f</m:t>
        </m:r>
        <m:r>
          <m:t>l</m:t>
        </m:r>
        <m:r>
          <m:t>o</m:t>
        </m:r>
        <m:r>
          <m:t>w</m:t>
        </m:r>
        <m:r>
          <m:t>i</m:t>
        </m:r>
        <m:r>
          <m:t>n</m:t>
        </m:r>
        <m:r>
          <m:t>t</m:t>
        </m:r>
        <m:r>
          <m:t>h</m:t>
        </m:r>
        <m:r>
          <m:t>e</m:t>
        </m:r>
        <m:r>
          <m:t>f</m:t>
        </m:r>
        <m:r>
          <m:t>i</m:t>
        </m:r>
        <m:r>
          <m:t>r</m:t>
        </m:r>
        <m:r>
          <m:t>s</m:t>
        </m:r>
        <m:r>
          <m:t>t</m:t>
        </m:r>
        <m:r>
          <m:t>h</m:t>
        </m:r>
        <m:r>
          <m:t>a</m:t>
        </m:r>
        <m:r>
          <m:t>l</m:t>
        </m:r>
        <m:r>
          <m:t>f</m:t>
        </m:r>
        <m:r>
          <m:t>a</m:t>
        </m:r>
        <m:r>
          <m:t>n</m:t>
        </m:r>
        <m:r>
          <m:t>d</m:t>
        </m:r>
        <m:r>
          <m:t>g</m:t>
        </m:r>
        <m:r>
          <m:t>u</m:t>
        </m:r>
        <m:r>
          <m:t>i</m:t>
        </m:r>
        <m:r>
          <m:t>d</m:t>
        </m:r>
        <m:r>
          <m:t>e</m:t>
        </m:r>
        <m:r>
          <m:t>d</m:t>
        </m:r>
        <m:r>
          <m:t>t</m:t>
        </m:r>
        <m:r>
          <m:t>o</m:t>
        </m:r>
        <m:r>
          <m:rPr>
            <m:sty m:val="p"/>
          </m:rPr>
          <m:t>*</m:t>
        </m:r>
        <m:r>
          <m:rPr>
            <m:sty m:val="p"/>
          </m:rPr>
          <m:t>*</m:t>
        </m:r>
      </m:oMath>
      <w:r>
        <w:rPr>
          <w:b/>
          <w:bCs/>
        </w:rPr>
        <w:t xml:space="preserve">240M–$245M</w:t>
      </w:r>
      <w:r>
        <w:t xml:space="preserve"> </w:t>
      </w:r>
      <w:r>
        <w:t xml:space="preserve">in Q3. Against its approximately $850M FY26 FCF target, that implies a very low Q4 free-cash-flow contribution.</w:t>
      </w:r>
    </w:p>
    <w:p>
      <w:pPr>
        <w:pStyle w:val="BodyText"/>
      </w:pPr>
      <w:r>
        <w:t xml:space="preserve">Management has explained the cadence: Q4 includes roughly</w:t>
      </w:r>
      <w:r>
        <w:t xml:space="preserve"> </w:t>
      </w:r>
      <m:oMath>
        <m:r>
          <m:t>105</m:t>
        </m:r>
        <m:r>
          <m:t>M</m:t>
        </m:r>
        <m:r>
          <m:t>o</m:t>
        </m:r>
        <m:r>
          <m:t>f</m:t>
        </m:r>
        <m:r>
          <m:t>d</m:t>
        </m:r>
        <m:r>
          <m:t>i</m:t>
        </m:r>
        <m:r>
          <m:t>v</m:t>
        </m:r>
        <m:r>
          <m:t>e</m:t>
        </m:r>
        <m:r>
          <m:t>s</m:t>
        </m:r>
        <m:r>
          <m:t>t</m:t>
        </m:r>
        <m:r>
          <m:t>i</m:t>
        </m:r>
        <m:r>
          <m:t>t</m:t>
        </m:r>
        <m:r>
          <m:t>u</m:t>
        </m:r>
        <m:r>
          <m:t>r</m:t>
        </m:r>
        <m:r>
          <m:t>e</m:t>
        </m:r>
        <m:r>
          <m:rPr>
            <m:sty m:val="p"/>
          </m:rPr>
          <m:t>−</m:t>
        </m:r>
        <m:r>
          <m:t>r</m:t>
        </m:r>
        <m:r>
          <m:t>e</m:t>
        </m:r>
        <m:r>
          <m:t>l</m:t>
        </m:r>
        <m:r>
          <m:t>a</m:t>
        </m:r>
        <m:r>
          <m:t>t</m:t>
        </m:r>
        <m:r>
          <m:t>e</m:t>
        </m:r>
        <m:r>
          <m:t>d</m:t>
        </m:r>
        <m:r>
          <m:t>c</m:t>
        </m:r>
        <m:r>
          <m:t>a</m:t>
        </m:r>
        <m:r>
          <m:t>s</m:t>
        </m:r>
        <m:r>
          <m:t>h</m:t>
        </m:r>
        <m:r>
          <m:t>t</m:t>
        </m:r>
        <m:r>
          <m:t>a</m:t>
        </m:r>
        <m:r>
          <m:t>x</m:t>
        </m:r>
        <m:r>
          <m:t>e</m:t>
        </m:r>
        <m:r>
          <m:t>s</m:t>
        </m:r>
        <m:r>
          <m:rPr>
            <m:sty m:val="p"/>
          </m:rPr>
          <m:t>*</m:t>
        </m:r>
        <m:r>
          <m:rPr>
            <m:sty m:val="p"/>
          </m:rPr>
          <m:t>*</m:t>
        </m:r>
        <m:r>
          <m:rPr>
            <m:sty m:val="p"/>
          </m:rPr>
          <m:t>,</m:t>
        </m:r>
        <m:r>
          <m:t>a</m:t>
        </m:r>
        <m:r>
          <m:t>p</m:t>
        </m:r>
        <m:r>
          <m:t>p</m:t>
        </m:r>
        <m:r>
          <m:t>r</m:t>
        </m:r>
        <m:r>
          <m:t>o</m:t>
        </m:r>
        <m:r>
          <m:t>x</m:t>
        </m:r>
        <m:r>
          <m:t>i</m:t>
        </m:r>
        <m:r>
          <m:t>m</m:t>
        </m:r>
        <m:r>
          <m:t>a</m:t>
        </m:r>
        <m:r>
          <m:t>t</m:t>
        </m:r>
        <m:r>
          <m:t>e</m:t>
        </m:r>
        <m:r>
          <m:t>l</m:t>
        </m:r>
        <m:r>
          <m:t>y</m:t>
        </m:r>
        <m:r>
          <m:rPr>
            <m:sty m:val="p"/>
          </m:rPr>
          <m:t>*</m:t>
        </m:r>
        <m:r>
          <m:rPr>
            <m:sty m:val="p"/>
          </m:rPr>
          <m:t>*</m:t>
        </m:r>
      </m:oMath>
      <w:r>
        <w:rPr>
          <w:b/>
          <w:bCs/>
        </w:rPr>
        <w:t xml:space="preserve">20M of divestiture-related costs</w:t>
      </w:r>
      <w:r>
        <w:t xml:space="preserve">, and elevated capex associated with relocating a major R&amp;D center. Those are mostly nonrecurring items, so the FY27 cash-flow baseline could be cleaner than FY26’s reported FCF.</w:t>
      </w:r>
    </w:p>
    <w:p>
      <w:pPr>
        <w:pStyle w:val="BodyText"/>
      </w:pPr>
      <w:r>
        <w:t xml:space="preserve">For Q3, investors should assess whether:</w:t>
      </w:r>
    </w:p>
    <w:p>
      <w:pPr>
        <w:pStyle w:val="Compact"/>
        <w:numPr>
          <w:ilvl w:val="0"/>
          <w:numId w:val="1005"/>
        </w:numPr>
      </w:pPr>
      <w:r>
        <w:t xml:space="preserve">the</w:t>
      </w:r>
      <w:r>
        <w:t xml:space="preserve"> </w:t>
      </w:r>
      <m:oMath>
        <m:r>
          <m:t>240</m:t>
        </m:r>
        <m:r>
          <m:t>M</m:t>
        </m:r>
        <m:r>
          <m:rPr>
            <m:sty m:val="p"/>
          </m:rPr>
          <m:t>–</m:t>
        </m:r>
      </m:oMath>
      <w:r>
        <w:t xml:space="preserve">245M FCF guide is met or exceeded;</w:t>
      </w:r>
    </w:p>
    <w:p>
      <w:pPr>
        <w:pStyle w:val="Compact"/>
        <w:numPr>
          <w:ilvl w:val="0"/>
          <w:numId w:val="1005"/>
        </w:numPr>
      </w:pPr>
      <w:r>
        <w:t xml:space="preserve">the timing and estimated amount of Q4 cash taxes remain unchanged;</w:t>
      </w:r>
    </w:p>
    <w:p>
      <w:pPr>
        <w:pStyle w:val="Compact"/>
        <w:numPr>
          <w:ilvl w:val="0"/>
          <w:numId w:val="1005"/>
        </w:numPr>
      </w:pPr>
      <w:r>
        <w:t xml:space="preserve">management continues to frame roughly</w:t>
      </w:r>
      <w:r>
        <w:t xml:space="preserve"> </w:t>
      </w:r>
      <w:r>
        <w:rPr>
          <w:b/>
          <w:bCs/>
        </w:rPr>
        <w:t xml:space="preserve">$950M</w:t>
      </w:r>
      <w:r>
        <w:t xml:space="preserve"> </w:t>
      </w:r>
      <w:r>
        <w:t xml:space="preserve">as the more normalized FY26 FCF baseline before unusual divestiture and relocation impacts.</w:t>
      </w:r>
    </w:p>
    <w:bookmarkEnd w:id="17"/>
    <w:bookmarkStart w:id="18" w:name="key-questions-for-the-call"/>
    <w:p>
      <w:pPr>
        <w:pStyle w:val="Heading2"/>
      </w:pPr>
      <w:r>
        <w:t xml:space="preserve">Key questions for the call</w:t>
      </w:r>
    </w:p>
    <w:p>
      <w:pPr>
        <w:numPr>
          <w:ilvl w:val="0"/>
          <w:numId w:val="1006"/>
        </w:numPr>
      </w:pPr>
      <w:r>
        <w:rPr>
          <w:b/>
          <w:bCs/>
        </w:rPr>
        <w:t xml:space="preserve">Did net-new ARR meet or beat the</w:t>
      </w:r>
      <w:r>
        <w:rPr>
          <w:b/>
          <w:bCs/>
        </w:rPr>
        <w:t xml:space="preserve"> </w:t>
      </w:r>
      <m:oMath>
        <m:r>
          <m:t>40</m:t>
        </m:r>
        <m:r>
          <m:t>M</m:t>
        </m:r>
        <m:r>
          <m:rPr>
            <m:sty m:val="p"/>
          </m:rPr>
          <m:t>–</m:t>
        </m:r>
      </m:oMath>
      <w:r>
        <w:rPr>
          <w:b/>
          <w:bCs/>
        </w:rPr>
        <w:t xml:space="preserve">55M range?</w:t>
      </w:r>
      <w:r>
        <w:br/>
      </w:r>
      <w:r>
        <w:t xml:space="preserve">This is the most direct test of the second-half growth narrative.</w:t>
      </w:r>
    </w:p>
    <w:p>
      <w:pPr>
        <w:numPr>
          <w:ilvl w:val="0"/>
          <w:numId w:val="1006"/>
        </w:numPr>
      </w:pPr>
      <w:r>
        <w:rPr>
          <w:b/>
          <w:bCs/>
        </w:rPr>
        <w:t xml:space="preserve">How much confidence does management have in the Q4 ARR step-up?</w:t>
      </w:r>
      <w:r>
        <w:br/>
      </w:r>
      <w:r>
        <w:t xml:space="preserve">Specifically, has deferred ARR continued to build, and what portion is contracted versus pipeline-dependent?</w:t>
      </w:r>
    </w:p>
    <w:p>
      <w:pPr>
        <w:numPr>
          <w:ilvl w:val="0"/>
          <w:numId w:val="1006"/>
        </w:numPr>
      </w:pPr>
      <w:r>
        <w:rPr>
          <w:b/>
          <w:bCs/>
        </w:rPr>
        <w:t xml:space="preserve">Are PLM and Codebeamer continuing to outgrow the broader portfolio?</w:t>
      </w:r>
      <w:r>
        <w:br/>
      </w:r>
      <w:r>
        <w:t xml:space="preserve">Strong growth in Windchill, Codebeamer and cloud PLM would support the modernization thesis.</w:t>
      </w:r>
    </w:p>
    <w:p>
      <w:pPr>
        <w:numPr>
          <w:ilvl w:val="0"/>
          <w:numId w:val="1006"/>
        </w:numPr>
      </w:pPr>
      <w:r>
        <w:rPr>
          <w:b/>
          <w:bCs/>
        </w:rPr>
        <w:t xml:space="preserve">Is ServiceMax stabilizing?</w:t>
      </w:r>
      <w:r>
        <w:br/>
      </w:r>
      <w:r>
        <w:t xml:space="preserve">Management suggested negative-churn digestion was largely behind the company. Confirmation would remove an overhang on portfolio-level growth.</w:t>
      </w:r>
    </w:p>
    <w:p>
      <w:pPr>
        <w:numPr>
          <w:ilvl w:val="0"/>
          <w:numId w:val="1006"/>
        </w:numPr>
      </w:pPr>
      <w:r>
        <w:rPr>
          <w:b/>
          <w:bCs/>
        </w:rPr>
        <w:t xml:space="preserve">What is the incremental contribution of AI to pipeline and deal activity?</w:t>
      </w:r>
      <w:r>
        <w:br/>
      </w:r>
      <w:r>
        <w:t xml:space="preserve">Investors should seek concrete metrics: paid deployments, conversion from proof-of-concept to production, expansion ACV, and use cases beyond broad strategic language.</w:t>
      </w:r>
    </w:p>
    <w:p>
      <w:pPr>
        <w:numPr>
          <w:ilvl w:val="0"/>
          <w:numId w:val="1006"/>
        </w:numPr>
      </w:pPr>
      <w:r>
        <w:rPr>
          <w:b/>
          <w:bCs/>
        </w:rPr>
        <w:t xml:space="preserve">What is happening with customer decision cycles?</w:t>
      </w:r>
      <w:r>
        <w:br/>
      </w:r>
      <w:r>
        <w:t xml:space="preserve">PTC sells into global manufacturing, automotive, aerospace/defense, electronics and high-tech customers. Macroeconomic uncertainty, tariffs, FX, and global industrial conditions can extend approvals even when pipeline quality is strong.</w:t>
      </w:r>
    </w:p>
    <w:p>
      <w:pPr>
        <w:numPr>
          <w:ilvl w:val="0"/>
          <w:numId w:val="1006"/>
        </w:numPr>
      </w:pPr>
      <w:r>
        <w:rPr>
          <w:b/>
          <w:bCs/>
        </w:rPr>
        <w:t xml:space="preserve">Is the FY26 guide still appropriate—and what is the early FY27 setup?</w:t>
      </w:r>
      <w:r>
        <w:br/>
      </w:r>
      <w:r>
        <w:t xml:space="preserve">The market will likely react more to confidence around FY27 ARR acceleration and normalized FCF than to a modest Q3 revenue or EPS beat.</w:t>
      </w:r>
    </w:p>
    <w:bookmarkEnd w:id="18"/>
    <w:bookmarkStart w:id="19" w:name="risks-into-the-print"/>
    <w:p>
      <w:pPr>
        <w:pStyle w:val="Heading2"/>
      </w:pPr>
      <w:r>
        <w:t xml:space="preserve">Risks into the print</w:t>
      </w:r>
    </w:p>
    <w:p>
      <w:pPr>
        <w:pStyle w:val="Compact"/>
        <w:numPr>
          <w:ilvl w:val="0"/>
          <w:numId w:val="1007"/>
        </w:numPr>
      </w:pPr>
      <w:r>
        <w:rPr>
          <w:b/>
          <w:bCs/>
        </w:rPr>
        <w:t xml:space="preserve">Execution risk in Q4:</w:t>
      </w:r>
      <w:r>
        <w:t xml:space="preserve"> </w:t>
      </w:r>
      <w:r>
        <w:t xml:space="preserve">The full-year ARR guide depends on a material second-half outcome, particularly the expected Q4 ramp.</w:t>
      </w:r>
    </w:p>
    <w:p>
      <w:pPr>
        <w:pStyle w:val="Compact"/>
        <w:numPr>
          <w:ilvl w:val="0"/>
          <w:numId w:val="1007"/>
        </w:numPr>
      </w:pPr>
      <w:r>
        <w:rPr>
          <w:b/>
          <w:bCs/>
        </w:rPr>
        <w:t xml:space="preserve">Deferred-ARR interpretation:</w:t>
      </w:r>
      <w:r>
        <w:t xml:space="preserve"> </w:t>
      </w:r>
      <w:r>
        <w:t xml:space="preserve">Longer-duration deals are positive for retention and visibility, but can delay active ARR recognition and make quarterly comparisons harder to interpret.</w:t>
      </w:r>
    </w:p>
    <w:p>
      <w:pPr>
        <w:pStyle w:val="Compact"/>
        <w:numPr>
          <w:ilvl w:val="0"/>
          <w:numId w:val="1007"/>
        </w:numPr>
      </w:pPr>
      <w:r>
        <w:rPr>
          <w:b/>
          <w:bCs/>
        </w:rPr>
        <w:t xml:space="preserve">Macro exposure:</w:t>
      </w:r>
      <w:r>
        <w:t xml:space="preserve"> </w:t>
      </w:r>
      <w:r>
        <w:t xml:space="preserve">PTC’s industrial customer base is vulnerable to manufacturing softness, FX volatility, trade-policy uncertainty, tariffs, and longer capital-approval cycles.</w:t>
      </w:r>
    </w:p>
    <w:p>
      <w:pPr>
        <w:pStyle w:val="Compact"/>
        <w:numPr>
          <w:ilvl w:val="0"/>
          <w:numId w:val="1007"/>
        </w:numPr>
      </w:pPr>
      <w:r>
        <w:rPr>
          <w:b/>
          <w:bCs/>
        </w:rPr>
        <w:t xml:space="preserve">AI expectations:</w:t>
      </w:r>
      <w:r>
        <w:t xml:space="preserve"> </w:t>
      </w:r>
      <w:r>
        <w:t xml:space="preserve">AI is clearly aiding the commercial narrative, but direct monetization is early. The market could punish a gap between enthusiasm and measurable ARR conversion.</w:t>
      </w:r>
    </w:p>
    <w:p>
      <w:pPr>
        <w:pStyle w:val="Compact"/>
        <w:numPr>
          <w:ilvl w:val="0"/>
          <w:numId w:val="1007"/>
        </w:numPr>
      </w:pPr>
      <w:r>
        <w:rPr>
          <w:b/>
          <w:bCs/>
        </w:rPr>
        <w:t xml:space="preserve">Divestiture and cash-flow noise:</w:t>
      </w:r>
      <w:r>
        <w:t xml:space="preserve"> </w:t>
      </w:r>
      <w:r>
        <w:t xml:space="preserve">Transaction-related costs, cash taxes, transition-services performance, and Q4 capex complicate modeling.</w:t>
      </w:r>
    </w:p>
    <w:p>
      <w:pPr>
        <w:pStyle w:val="Compact"/>
        <w:numPr>
          <w:ilvl w:val="0"/>
          <w:numId w:val="1007"/>
        </w:numPr>
      </w:pPr>
      <w:r>
        <w:rPr>
          <w:b/>
          <w:bCs/>
        </w:rPr>
        <w:t xml:space="preserve">Valuation/expectations risk:</w:t>
      </w:r>
      <w:r>
        <w:t xml:space="preserve"> </w:t>
      </w:r>
      <w:r>
        <w:t xml:space="preserve">PTC shares closed at</w:t>
      </w:r>
      <w:r>
        <w:t xml:space="preserve"> </w:t>
      </w:r>
      <w:r>
        <w:rPr>
          <w:b/>
          <w:bCs/>
        </w:rPr>
        <w:t xml:space="preserve">$127.54 on July 28</w:t>
      </w:r>
      <w:r>
        <w:t xml:space="preserve">, up about</w:t>
      </w:r>
      <w:r>
        <w:t xml:space="preserve"> </w:t>
      </w:r>
      <w:r>
        <w:rPr>
          <w:b/>
          <w:bCs/>
        </w:rPr>
        <w:t xml:space="preserve">6.5%</w:t>
      </w:r>
      <w:r>
        <w:t xml:space="preserve"> </w:t>
      </w:r>
      <w:r>
        <w:t xml:space="preserve">from July 1 after a sharp mid-month pullback and rebound; that recovery suggests some favorable execution may already be anticipated.</w:t>
      </w:r>
    </w:p>
    <w:bookmarkEnd w:id="19"/>
    <w:bookmarkStart w:id="21" w:name="bottom-line"/>
    <w:p>
      <w:pPr>
        <w:pStyle w:val="Heading2"/>
      </w:pPr>
      <w:r>
        <w:t xml:space="preserve">Bottom line</w:t>
      </w:r>
    </w:p>
    <w:p>
      <w:pPr>
        <w:pStyle w:val="FirstParagraph"/>
      </w:pPr>
      <w:r>
        <w:t xml:space="preserve">PTC’s Q3 is primarily an</w:t>
      </w:r>
      <w:r>
        <w:t xml:space="preserve"> </w:t>
      </w:r>
      <w:r>
        <w:rPr>
          <w:b/>
          <w:bCs/>
        </w:rPr>
        <w:t xml:space="preserve">ARR and credibility</w:t>
      </w:r>
      <w:r>
        <w:t xml:space="preserve"> </w:t>
      </w:r>
      <w:r>
        <w:t xml:space="preserve">report. A result near the top of ARR guidance, coupled with tangible evidence of continued pipeline strength, deferred-ARR conversion, PLM/Codebeamer momentum, and a stable ServiceMax outlook, would reinforce the view that PTC is emerging from its go-to-market transformation with a durable growth engine.</w:t>
      </w:r>
    </w:p>
    <w:p>
      <w:pPr>
        <w:pStyle w:val="BodyText"/>
      </w:pPr>
      <w:r>
        <w:t xml:space="preserve">Conversely, an in-range revenue or EPS result will not be enough if net-new ARR is soft or if management’s Q4 step-up relies more heavily on future pipeline conversion than previously implied. The decisive issue is whether PTC can show that its AI-enabled modernization narrative is translating into recurring-growth acceleration—not merely better positioning.</w:t>
      </w:r>
    </w:p>
    <w:bookmarkStart w:id="20" w:name="primary-research-used"/>
    <w:p>
      <w:pPr>
        <w:pStyle w:val="Heading3"/>
      </w:pPr>
      <w:r>
        <w:t xml:space="preserve">Primary research used</w:t>
      </w:r>
    </w:p>
    <w:p>
      <w:pPr>
        <w:pStyle w:val="Compact"/>
        <w:numPr>
          <w:ilvl w:val="0"/>
          <w:numId w:val="1008"/>
        </w:numPr>
      </w:pPr>
      <w:r>
        <w:t xml:space="preserve">PTC FY26 Q2 earnings release and financial tables — May 6, 2026</w:t>
      </w:r>
    </w:p>
    <w:p>
      <w:pPr>
        <w:pStyle w:val="Compact"/>
        <w:numPr>
          <w:ilvl w:val="0"/>
          <w:numId w:val="1008"/>
        </w:numPr>
      </w:pPr>
      <w:r>
        <w:t xml:space="preserve">PTC FY26 Q2 earnings-call transcript — May 6, 2026</w:t>
      </w:r>
    </w:p>
    <w:p>
      <w:pPr>
        <w:pStyle w:val="Compact"/>
        <w:numPr>
          <w:ilvl w:val="0"/>
          <w:numId w:val="1008"/>
        </w:numPr>
      </w:pPr>
      <w:r>
        <w:t xml:space="preserve">PTC FY26 Q2 Form 10-Q / MD&amp;A — filed May 6, 2026</w:t>
      </w:r>
    </w:p>
    <w:p>
      <w:pPr>
        <w:pStyle w:val="Compact"/>
        <w:numPr>
          <w:ilvl w:val="0"/>
          <w:numId w:val="1008"/>
        </w:numPr>
      </w:pPr>
      <w:r>
        <w:t xml:space="preserve">PTC Q3 FY26 earnings-date announcement — July 8, 2026</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2026-07-29T01:37:44Z</dcterms:created>
  <dcterms:modified xsi:type="dcterms:W3CDTF">2026-07-29T01:37:44Z</dcterms:modified>
</cp:coreProperties>
</file>

<file path=docProps/custom.xml><?xml version="1.0" encoding="utf-8"?>
<Properties xmlns="http://schemas.openxmlformats.org/officeDocument/2006/custom-properties" xmlns:vt="http://schemas.openxmlformats.org/officeDocument/2006/docPropsVTypes"/>
</file>