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PTC Inc. (PTC) — Q3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PTC Inc.</w:t>
            </w:r>
          </w:p>
        </w:tc>
      </w:tr>
      <w:tr>
        <w:tc>
          <w:tcPr>
            <w:tcW w:type="dxa" w:w="4320"/>
          </w:tcPr>
          <w:p>
            <w:r>
              <w:rPr>
                <w:rFonts w:ascii="Calibri" w:hAnsi="Calibri"/>
                <w:b/>
                <w:sz w:val="22"/>
              </w:rPr>
              <w:t>Ticker</w:t>
            </w:r>
          </w:p>
        </w:tc>
        <w:tc>
          <w:tcPr>
            <w:tcW w:type="dxa" w:w="4320"/>
          </w:tcPr>
          <w:p>
            <w:r>
              <w:rPr>
                <w:rFonts w:ascii="Calibri" w:hAnsi="Calibri"/>
                <w:sz w:val="22"/>
              </w:rPr>
              <w:t>NASDAQ: PTC</w:t>
            </w:r>
          </w:p>
        </w:tc>
      </w:tr>
      <w:tr>
        <w:tc>
          <w:tcPr>
            <w:tcW w:type="dxa" w:w="4320"/>
          </w:tcPr>
          <w:p>
            <w:r>
              <w:rPr>
                <w:rFonts w:ascii="Calibri" w:hAnsi="Calibri"/>
                <w:b/>
                <w:sz w:val="22"/>
              </w:rPr>
              <w:t>Upcoming Earnings Date</w:t>
            </w:r>
          </w:p>
        </w:tc>
        <w:tc>
          <w:tcPr>
            <w:tcW w:type="dxa" w:w="4320"/>
          </w:tcPr>
          <w:p>
            <w:r>
              <w:rPr>
                <w:rFonts w:ascii="Calibri" w:hAnsi="Calibri"/>
                <w:sz w:val="22"/>
              </w:rPr>
              <w:t>July 29,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Q3 FY2026 (Quarter ending June 30, 2026)</w:t>
            </w:r>
          </w:p>
        </w:tc>
      </w:tr>
      <w:tr>
        <w:tc>
          <w:tcPr>
            <w:tcW w:type="dxa" w:w="4320"/>
          </w:tcPr>
          <w:p>
            <w:r>
              <w:rPr>
                <w:rFonts w:ascii="Calibri" w:hAnsi="Calibri"/>
                <w:b/>
                <w:sz w:val="22"/>
              </w:rPr>
              <w:t>Preparation Date</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Q2 FY2026 — May 6, 2026 (Beat on ARR, Revenue, FCF, and Non-GAAP EPS)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mixed-to-constructive — consensus ARR bar is achievable given management's explicit Q3 guidance of 8–9% CC growth, but the stock has de-rated sharply since Q2 earnings and the biggest swing factor is whether deferred ARR conversion and net new ARR trajectory signal a credible Q4 step-up.</w:t>
      </w:r>
    </w:p>
    <w:p>
      <w:r>
        <w:rPr>
          <w:rFonts w:ascii="Calibri" w:hAnsi="Calibri"/>
          <w:color w:val="525866"/>
          <w:sz w:val="22"/>
        </w:rPr>
        <w:t xml:space="preserve">Heading into Q3 FY2026, the bar for PTC is manageable on ARR but the market's patience is being tested by a stock that has fallen roughly 17% since the Q2 print despite a broad beat. </w:t>
      </w:r>
      <w:r>
        <w:rPr>
          <w:rFonts w:ascii="Calibri" w:hAnsi="Calibri"/>
          <w:color w:val="525866"/>
          <w:sz w:val="22"/>
        </w:rPr>
        <w:t xml:space="preserve">Management guided Q3 CC ARR growth (ex-Kepware/ThingWorx) of 8–9%, corresponding to net new ARR of $40–55M, and consensus sits at $2.436B in CC ARR — squarely within that range — suggesting the ARR bar is neither heroic nor sandbagged. </w:t>
      </w:r>
      <w:r>
        <w:rPr>
          <w:rFonts w:ascii="Calibri" w:hAnsi="Calibri"/>
          <w:color w:val="525866"/>
          <w:sz w:val="22"/>
        </w:rPr>
        <w:t xml:space="preserve">Guidance tone from the Q2 call and the May JP Morgan conference was notably confident: CEO Neil Barua described "feeling the wind in our back" and CFO Jennifer DiRico stated the team feels "incrementally better and more confident" about the second half, with the lower end of the full-year ARR range described as increasingly de-risked. </w:t>
      </w:r>
      <w:r>
        <w:rPr>
          <w:rFonts w:ascii="Calibri" w:hAnsi="Calibri"/>
          <w:color w:val="525866"/>
          <w:sz w:val="22"/>
        </w:rPr>
        <w:t xml:space="preserve">Estimate revisions since the Q2 print have been largely stable on ARR and modestly positive on EPS, reflecting operating leverage and buyback tailwinds, but revenue estimates remain wide given duration-driven variability. </w:t>
      </w:r>
      <w:r>
        <w:rPr>
          <w:rFonts w:ascii="Calibri" w:hAnsi="Calibri"/>
          <w:color w:val="525866"/>
          <w:sz w:val="22"/>
        </w:rPr>
        <w:t xml:space="preserve">The stock's sharp decline — driven by the June 11 Oracle AI capex shock selloff, Russell index removal in early July, and multiple compression from ~30x to ~20x forward ARR — means the setup is not pricing in a beat, creating asymmetric upside if Q3 ARR lands at the high end and management reaffirms Q4 deferred ARR conversion visibility. </w:t>
      </w:r>
      <w:r>
        <w:rPr>
          <w:rFonts w:ascii="Calibri" w:hAnsi="Calibri"/>
          <w:color w:val="525866"/>
          <w:sz w:val="22"/>
        </w:rPr>
        <w:t>The key wildcard is the PTC NEXT Chicago product launch (June 9–10): two new organically built products (PTC Orbit, PTC Jetstream) and a new AI platform were unveiled, and management's commentary on early commercial traction at these new SKUs could meaningfully shift the narrative on AI monetization timing.</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ARR of $2.436B sits within management's guided 8–9% CC growth range — a fair but not demanding bar. </w:t>
      </w:r>
      <w:r>
        <w:rPr>
          <w:rFonts w:ascii="Calibri" w:hAnsi="Calibri"/>
          <w:color w:val="525866"/>
          <w:sz w:val="22"/>
        </w:rPr>
        <w:t>Net New ARR ($40–55M guided) is the bigger swing factor: any upside here signals go-to-market momentum and de-risks the critical Q4 step-up thesis.</w:t>
      </w:r>
    </w:p>
    <w:p>
      <w:pPr>
        <w:pStyle w:val="Heading3"/>
      </w:pPr>
      <w:r>
        <w:rPr>
          <w:rFonts w:ascii="Calibri" w:hAnsi="Calibri"/>
          <w:b/>
          <w:color w:val="3B4259"/>
          <w:sz w:val="24"/>
        </w:rPr>
        <w:t>Table 1 — Q3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FY26 Actual (Last Qtr)</w:t>
            </w:r>
          </w:p>
        </w:tc>
        <w:tc>
          <w:tcPr>
            <w:tcW w:type="dxa" w:w="1234"/>
            <w:shd w:val="clear" w:color="auto" w:fill="3B4259"/>
          </w:tcPr>
          <w:p>
            <w:r>
              <w:rPr>
                <w:rFonts w:ascii="Calibri" w:hAnsi="Calibri"/>
                <w:b/>
                <w:color w:val="FFFFFF"/>
                <w:sz w:val="22"/>
              </w:rPr>
              <w:t>Q3 FY25 Actual (Prior Year)</w:t>
            </w:r>
          </w:p>
        </w:tc>
        <w:tc>
          <w:tcPr>
            <w:tcW w:type="dxa" w:w="1234"/>
            <w:shd w:val="clear" w:color="auto" w:fill="3B4259"/>
          </w:tcPr>
          <w:p>
            <w:r>
              <w:rPr>
                <w:rFonts w:ascii="Calibri" w:hAnsi="Calibri"/>
                <w:b/>
                <w:color w:val="FFFFFF"/>
                <w:sz w:val="22"/>
              </w:rPr>
              <w:t>Q3 FY26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Q3 FY26 Guidance</w:t>
            </w:r>
          </w:p>
        </w:tc>
        <w:tc>
          <w:tcPr>
            <w:tcW w:type="dxa" w:w="1234"/>
            <w:shd w:val="clear" w:color="auto" w:fill="3B4259"/>
          </w:tcPr>
          <w:p>
            <w:r>
              <w:rPr>
                <w:rFonts w:ascii="Calibri" w:hAnsi="Calibri"/>
                <w:b/>
                <w:color w:val="FFFFFF"/>
                <w:sz w:val="22"/>
              </w:rPr>
              <w:t>Consensus vs. Guidance Mid</w:t>
            </w:r>
          </w:p>
        </w:tc>
      </w:tr>
      <w:tr>
        <w:tc>
          <w:tcPr>
            <w:tcW w:type="dxa" w:w="1234"/>
          </w:tcPr>
          <w:p>
            <w:r>
              <w:rPr>
                <w:rFonts w:ascii="Calibri" w:hAnsi="Calibri"/>
                <w:sz w:val="22"/>
              </w:rPr>
              <w:t>CC ARR (ex-divestitures)</w:t>
            </w:r>
          </w:p>
        </w:tc>
        <w:tc>
          <w:tcPr>
            <w:tcW w:type="dxa" w:w="1234"/>
          </w:tcPr>
          <w:p>
            <w:r>
              <w:rPr>
                <w:rFonts w:ascii="Calibri" w:hAnsi="Calibri"/>
                <w:sz w:val="22"/>
              </w:rPr>
              <w:t>$2,388M</w:t>
            </w:r>
          </w:p>
        </w:tc>
        <w:tc>
          <w:tcPr>
            <w:tcW w:type="dxa" w:w="1234"/>
          </w:tcPr>
          <w:p>
            <w:r>
              <w:rPr>
                <w:rFonts w:ascii="Calibri" w:hAnsi="Calibri"/>
                <w:sz w:val="22"/>
              </w:rPr>
              <w:t>$2,245M</w:t>
            </w:r>
          </w:p>
        </w:tc>
        <w:tc>
          <w:tcPr>
            <w:tcW w:type="dxa" w:w="1234"/>
          </w:tcPr>
          <w:p>
            <w:r>
              <w:rPr>
                <w:rFonts w:ascii="Calibri" w:hAnsi="Calibri"/>
                <w:sz w:val="22"/>
              </w:rPr>
              <w:t>$2,436M</w:t>
            </w:r>
          </w:p>
        </w:tc>
        <w:tc>
          <w:tcPr>
            <w:tcW w:type="dxa" w:w="1234"/>
          </w:tcPr>
          <w:p>
            <w:r>
              <w:rPr>
                <w:rFonts w:ascii="Calibri" w:hAnsi="Calibri"/>
                <w:sz w:val="22"/>
              </w:rPr>
              <w:t>+8.5% YoY</w:t>
            </w:r>
          </w:p>
        </w:tc>
        <w:tc>
          <w:tcPr>
            <w:tcW w:type="dxa" w:w="1234"/>
          </w:tcPr>
          <w:p>
            <w:r>
              <w:rPr>
                <w:rFonts w:ascii="Calibri" w:hAnsi="Calibri"/>
                <w:sz w:val="22"/>
              </w:rPr>
              <w:t>8–9% CC growth ($2,403–$2,447M)</w:t>
            </w:r>
          </w:p>
        </w:tc>
        <w:tc>
          <w:tcPr>
            <w:tcW w:type="dxa" w:w="1234"/>
          </w:tcPr>
          <w:p>
            <w:r>
              <w:rPr>
                <w:rFonts w:ascii="Calibri" w:hAnsi="Calibri"/>
                <w:sz w:val="22"/>
              </w:rPr>
              <w:t>+0.2% vs. mid</w:t>
            </w:r>
          </w:p>
        </w:tc>
      </w:tr>
      <w:tr>
        <w:tc>
          <w:tcPr>
            <w:tcW w:type="dxa" w:w="1234"/>
          </w:tcPr>
          <w:p>
            <w:r>
              <w:rPr>
                <w:rFonts w:ascii="Calibri" w:hAnsi="Calibri"/>
                <w:sz w:val="22"/>
              </w:rPr>
              <w:t>Net New ARR</w:t>
            </w:r>
          </w:p>
        </w:tc>
        <w:tc>
          <w:tcPr>
            <w:tcW w:type="dxa" w:w="1234"/>
          </w:tcPr>
          <w:p>
            <w:r>
              <w:rPr>
                <w:rFonts w:ascii="Calibri" w:hAnsi="Calibri"/>
                <w:sz w:val="22"/>
              </w:rPr>
              <w:t>$45.9M</w:t>
            </w:r>
          </w:p>
        </w:tc>
        <w:tc>
          <w:tcPr>
            <w:tcW w:type="dxa" w:w="1234"/>
          </w:tcPr>
          <w:p>
            <w:r>
              <w:rPr>
                <w:rFonts w:ascii="Calibri" w:hAnsi="Calibri"/>
                <w:sz w:val="22"/>
              </w:rPr>
              <w:t>$44.5M</w:t>
            </w:r>
          </w:p>
        </w:tc>
        <w:tc>
          <w:tcPr>
            <w:tcW w:type="dxa" w:w="1234"/>
          </w:tcPr>
          <w:p>
            <w:r>
              <w:rPr>
                <w:rFonts w:ascii="Calibri" w:hAnsi="Calibri"/>
                <w:sz w:val="22"/>
              </w:rPr>
              <w:t>$47.9M</w:t>
            </w:r>
          </w:p>
        </w:tc>
        <w:tc>
          <w:tcPr>
            <w:tcW w:type="dxa" w:w="1234"/>
          </w:tcPr>
          <w:p>
            <w:r>
              <w:rPr>
                <w:rFonts w:ascii="Calibri" w:hAnsi="Calibri"/>
                <w:sz w:val="22"/>
              </w:rPr>
              <w:t>+7.6% YoY</w:t>
            </w:r>
          </w:p>
        </w:tc>
        <w:tc>
          <w:tcPr>
            <w:tcW w:type="dxa" w:w="1234"/>
          </w:tcPr>
          <w:p>
            <w:r>
              <w:rPr>
                <w:rFonts w:ascii="Calibri" w:hAnsi="Calibri"/>
                <w:sz w:val="22"/>
              </w:rPr>
              <w:t>$40–55M (YoY growth)</w:t>
            </w:r>
          </w:p>
        </w:tc>
        <w:tc>
          <w:tcPr>
            <w:tcW w:type="dxa" w:w="1234"/>
          </w:tcPr>
          <w:p>
            <w:r>
              <w:rPr>
                <w:rFonts w:ascii="Calibri" w:hAnsi="Calibri"/>
                <w:sz w:val="22"/>
              </w:rPr>
              <w:t>+1.9% vs. mid</w:t>
            </w:r>
          </w:p>
        </w:tc>
      </w:tr>
      <w:tr>
        <w:tc>
          <w:tcPr>
            <w:tcW w:type="dxa" w:w="1234"/>
          </w:tcPr>
          <w:p>
            <w:r>
              <w:rPr>
                <w:rFonts w:ascii="Calibri" w:hAnsi="Calibri"/>
                <w:sz w:val="22"/>
              </w:rPr>
              <w:t>Total Revenue (Operating)</w:t>
            </w:r>
          </w:p>
        </w:tc>
        <w:tc>
          <w:tcPr>
            <w:tcW w:type="dxa" w:w="1234"/>
          </w:tcPr>
          <w:p>
            <w:r>
              <w:rPr>
                <w:rFonts w:ascii="Calibri" w:hAnsi="Calibri"/>
                <w:sz w:val="22"/>
              </w:rPr>
              <w:t>$774.3M</w:t>
            </w:r>
          </w:p>
        </w:tc>
        <w:tc>
          <w:tcPr>
            <w:tcW w:type="dxa" w:w="1234"/>
          </w:tcPr>
          <w:p>
            <w:r>
              <w:rPr>
                <w:rFonts w:ascii="Calibri" w:hAnsi="Calibri"/>
                <w:sz w:val="22"/>
              </w:rPr>
              <w:t>$643.9M</w:t>
            </w:r>
          </w:p>
        </w:tc>
        <w:tc>
          <w:tcPr>
            <w:tcW w:type="dxa" w:w="1234"/>
          </w:tcPr>
          <w:p>
            <w:r>
              <w:rPr>
                <w:rFonts w:ascii="Calibri" w:hAnsi="Calibri"/>
                <w:sz w:val="22"/>
              </w:rPr>
              <w:t>$608.0M</w:t>
            </w:r>
          </w:p>
        </w:tc>
        <w:tc>
          <w:tcPr>
            <w:tcW w:type="dxa" w:w="1234"/>
          </w:tcPr>
          <w:p>
            <w:r>
              <w:rPr>
                <w:rFonts w:ascii="Calibri" w:hAnsi="Calibri"/>
                <w:sz w:val="22"/>
              </w:rPr>
              <w:t>-5.6% YoY</w:t>
            </w:r>
          </w:p>
        </w:tc>
        <w:tc>
          <w:tcPr>
            <w:tcW w:type="dxa" w:w="1234"/>
          </w:tcPr>
          <w:p>
            <w:r>
              <w:rPr>
                <w:rFonts w:ascii="Calibri" w:hAnsi="Calibri"/>
                <w:sz w:val="22"/>
              </w:rPr>
              <w:t>$580–$640M</w:t>
            </w:r>
          </w:p>
        </w:tc>
        <w:tc>
          <w:tcPr>
            <w:tcW w:type="dxa" w:w="1234"/>
          </w:tcPr>
          <w:p>
            <w:r>
              <w:rPr>
                <w:rFonts w:ascii="Calibri" w:hAnsi="Calibri"/>
                <w:sz w:val="22"/>
              </w:rPr>
              <w:t>-1.9% vs. mid</w:t>
            </w:r>
          </w:p>
        </w:tc>
      </w:tr>
      <w:tr>
        <w:tc>
          <w:tcPr>
            <w:tcW w:type="dxa" w:w="1234"/>
          </w:tcPr>
          <w:p>
            <w:r>
              <w:rPr>
                <w:rFonts w:ascii="Calibri" w:hAnsi="Calibri"/>
                <w:sz w:val="22"/>
              </w:rPr>
              <w:t>Non-GAAP EPS (Diluted)</w:t>
            </w:r>
          </w:p>
        </w:tc>
        <w:tc>
          <w:tcPr>
            <w:tcW w:type="dxa" w:w="1234"/>
          </w:tcPr>
          <w:p>
            <w:r>
              <w:rPr>
                <w:rFonts w:ascii="Calibri" w:hAnsi="Calibri"/>
                <w:sz w:val="22"/>
              </w:rPr>
              <w:t>$2.69</w:t>
            </w:r>
          </w:p>
        </w:tc>
        <w:tc>
          <w:tcPr>
            <w:tcW w:type="dxa" w:w="1234"/>
          </w:tcPr>
          <w:p>
            <w:r>
              <w:rPr>
                <w:rFonts w:ascii="Calibri" w:hAnsi="Calibri"/>
                <w:sz w:val="22"/>
              </w:rPr>
              <w:t>$1.64</w:t>
            </w:r>
          </w:p>
        </w:tc>
        <w:tc>
          <w:tcPr>
            <w:tcW w:type="dxa" w:w="1234"/>
          </w:tcPr>
          <w:p>
            <w:r>
              <w:rPr>
                <w:rFonts w:ascii="Calibri" w:hAnsi="Calibri"/>
                <w:sz w:val="22"/>
              </w:rPr>
              <w:t>$1.54</w:t>
            </w:r>
          </w:p>
        </w:tc>
        <w:tc>
          <w:tcPr>
            <w:tcW w:type="dxa" w:w="1234"/>
          </w:tcPr>
          <w:p>
            <w:r>
              <w:rPr>
                <w:rFonts w:ascii="Calibri" w:hAnsi="Calibri"/>
                <w:sz w:val="22"/>
              </w:rPr>
              <w:t>-6.1% YoY</w:t>
            </w:r>
          </w:p>
        </w:tc>
        <w:tc>
          <w:tcPr>
            <w:tcW w:type="dxa" w:w="1234"/>
          </w:tcPr>
          <w:p>
            <w:r>
              <w:rPr>
                <w:rFonts w:ascii="Calibri" w:hAnsi="Calibri"/>
                <w:sz w:val="22"/>
              </w:rPr>
              <w:t>$1.24–$1.78</w:t>
            </w:r>
          </w:p>
        </w:tc>
        <w:tc>
          <w:tcPr>
            <w:tcW w:type="dxa" w:w="1234"/>
          </w:tcPr>
          <w:p>
            <w:r>
              <w:rPr>
                <w:rFonts w:ascii="Calibri" w:hAnsi="Calibri"/>
                <w:sz w:val="22"/>
              </w:rPr>
              <w:t>-2.2% vs. mid</w:t>
            </w:r>
          </w:p>
        </w:tc>
      </w:tr>
      <w:tr>
        <w:tc>
          <w:tcPr>
            <w:tcW w:type="dxa" w:w="1234"/>
          </w:tcPr>
          <w:p>
            <w:r>
              <w:rPr>
                <w:rFonts w:ascii="Calibri" w:hAnsi="Calibri"/>
                <w:sz w:val="22"/>
              </w:rPr>
              <w:t>Free Cash Flow</w:t>
            </w:r>
          </w:p>
        </w:tc>
        <w:tc>
          <w:tcPr>
            <w:tcW w:type="dxa" w:w="1234"/>
          </w:tcPr>
          <w:p>
            <w:r>
              <w:rPr>
                <w:rFonts w:ascii="Calibri" w:hAnsi="Calibri"/>
                <w:sz w:val="22"/>
              </w:rPr>
              <w:t>$318.2M</w:t>
            </w:r>
          </w:p>
        </w:tc>
        <w:tc>
          <w:tcPr>
            <w:tcW w:type="dxa" w:w="1234"/>
          </w:tcPr>
          <w:p>
            <w:r>
              <w:rPr>
                <w:rFonts w:ascii="Calibri" w:hAnsi="Calibri"/>
                <w:sz w:val="22"/>
              </w:rPr>
              <w:t>$242.0M</w:t>
            </w:r>
          </w:p>
        </w:tc>
        <w:tc>
          <w:tcPr>
            <w:tcW w:type="dxa" w:w="1234"/>
          </w:tcPr>
          <w:p>
            <w:r>
              <w:rPr>
                <w:rFonts w:ascii="Calibri" w:hAnsi="Calibri"/>
                <w:sz w:val="22"/>
              </w:rPr>
              <w:t>$246.8M</w:t>
            </w:r>
          </w:p>
        </w:tc>
        <w:tc>
          <w:tcPr>
            <w:tcW w:type="dxa" w:w="1234"/>
          </w:tcPr>
          <w:p>
            <w:r>
              <w:rPr>
                <w:rFonts w:ascii="Calibri" w:hAnsi="Calibri"/>
                <w:sz w:val="22"/>
              </w:rPr>
              <w:t>+2.0% YoY</w:t>
            </w:r>
          </w:p>
        </w:tc>
        <w:tc>
          <w:tcPr>
            <w:tcW w:type="dxa" w:w="1234"/>
          </w:tcPr>
          <w:p>
            <w:r>
              <w:rPr>
                <w:rFonts w:ascii="Calibri" w:hAnsi="Calibri"/>
                <w:sz w:val="22"/>
              </w:rPr>
              <w:t>$240–$245M</w:t>
            </w:r>
          </w:p>
        </w:tc>
        <w:tc>
          <w:tcPr>
            <w:tcW w:type="dxa" w:w="1234"/>
          </w:tcPr>
          <w:p>
            <w:r>
              <w:rPr>
                <w:rFonts w:ascii="Calibri" w:hAnsi="Calibri"/>
                <w:sz w:val="22"/>
              </w:rPr>
              <w:t>+0.7% vs. mid</w:t>
            </w:r>
          </w:p>
        </w:tc>
      </w:tr>
      <w:tr>
        <w:tc>
          <w:tcPr>
            <w:tcW w:type="dxa" w:w="1234"/>
          </w:tcPr>
          <w:p>
            <w:r>
              <w:rPr>
                <w:rFonts w:ascii="Calibri" w:hAnsi="Calibri"/>
                <w:sz w:val="22"/>
              </w:rPr>
              <w:t>Non-GAAP Operating Margin</w:t>
            </w:r>
          </w:p>
        </w:tc>
        <w:tc>
          <w:tcPr>
            <w:tcW w:type="dxa" w:w="1234"/>
          </w:tcPr>
          <w:p>
            <w:r>
              <w:rPr>
                <w:rFonts w:ascii="Calibri" w:hAnsi="Calibri"/>
                <w:sz w:val="22"/>
              </w:rPr>
              <w:t>53.0%</w:t>
            </w:r>
          </w:p>
        </w:tc>
        <w:tc>
          <w:tcPr>
            <w:tcW w:type="dxa" w:w="1234"/>
          </w:tcPr>
          <w:p>
            <w:r>
              <w:rPr>
                <w:rFonts w:ascii="Calibri" w:hAnsi="Calibri"/>
                <w:sz w:val="22"/>
              </w:rPr>
              <w:t>44.3%</w:t>
            </w:r>
          </w:p>
        </w:tc>
        <w:tc>
          <w:tcPr>
            <w:tcW w:type="dxa" w:w="1234"/>
          </w:tcPr>
          <w:p>
            <w:r>
              <w:rPr>
                <w:rFonts w:ascii="Calibri" w:hAnsi="Calibri"/>
                <w:sz w:val="22"/>
              </w:rPr>
              <w:t>41.2%</w:t>
            </w:r>
          </w:p>
        </w:tc>
        <w:tc>
          <w:tcPr>
            <w:tcW w:type="dxa" w:w="1234"/>
          </w:tcPr>
          <w:p>
            <w:r>
              <w:rPr>
                <w:rFonts w:ascii="Calibri" w:hAnsi="Calibri"/>
                <w:sz w:val="22"/>
              </w:rPr>
              <w:t>-310 bps YoY</w:t>
            </w:r>
          </w:p>
        </w:tc>
        <w:tc>
          <w:tcPr>
            <w:tcW w:type="dxa" w:w="1234"/>
          </w:tcPr>
          <w:p>
            <w:r>
              <w:rPr>
                <w:rFonts w:ascii="Calibri" w:hAnsi="Calibri"/>
                <w:sz w:val="22"/>
              </w:rPr>
              <w:t>N/A (not guided quarterly)</w:t>
            </w:r>
          </w:p>
        </w:tc>
        <w:tc>
          <w:tcPr>
            <w:tcW w:type="dxa" w:w="1234"/>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CC ARR, Net New ARR, Revenue, EPS, FCF, and Operating Margin sourced from Visible Alpha consensus and actuals. Q3 FY26 corresponds to the quarter ending June 30, 2026. Revenue and EPS YoY comparisons appear negative because Q2 FY26 benefited from unusually long-duration renewals that pulled forward recognition; the underlying ARR trajectory is the more meaningful signal. Q3 FY25 CC ARR actual = $2,245M; Q2 FY26 CC ARR actual = $2,388M (at high end of guidance). Consensus vs. guidance mid calculated using guidance midpoints: CC ARR mid = $2,425M; Revenue mid = $610M; EPS mid = $1.51; FCF mid = $242.5M.</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FY26</w:t>
            </w:r>
          </w:p>
        </w:tc>
        <w:tc>
          <w:tcPr>
            <w:tcW w:type="dxa" w:w="1440"/>
          </w:tcPr>
          <w:p>
            <w:r>
              <w:rPr>
                <w:rFonts w:ascii="Calibri" w:hAnsi="Calibri"/>
                <w:sz w:val="22"/>
              </w:rPr>
              <w:t>CC ARR</w:t>
            </w:r>
          </w:p>
        </w:tc>
        <w:tc>
          <w:tcPr>
            <w:tcW w:type="dxa" w:w="1440"/>
          </w:tcPr>
          <w:p>
            <w:r>
              <w:rPr>
                <w:rFonts w:ascii="Calibri" w:hAnsi="Calibri"/>
                <w:sz w:val="22"/>
              </w:rPr>
              <w:t>$2,388M</w:t>
            </w:r>
          </w:p>
        </w:tc>
        <w:tc>
          <w:tcPr>
            <w:tcW w:type="dxa" w:w="1440"/>
          </w:tcPr>
          <w:p>
            <w:r>
              <w:rPr>
                <w:rFonts w:ascii="Calibri" w:hAnsi="Calibri"/>
                <w:sz w:val="22"/>
              </w:rPr>
              <w:t>$2,383M</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Q2 FY26</w:t>
            </w:r>
          </w:p>
        </w:tc>
        <w:tc>
          <w:tcPr>
            <w:tcW w:type="dxa" w:w="1440"/>
          </w:tcPr>
          <w:p>
            <w:r>
              <w:rPr>
                <w:rFonts w:ascii="Calibri" w:hAnsi="Calibri"/>
                <w:sz w:val="22"/>
              </w:rPr>
              <w:t>Non-GAAP EPS</w:t>
            </w:r>
          </w:p>
        </w:tc>
        <w:tc>
          <w:tcPr>
            <w:tcW w:type="dxa" w:w="1440"/>
          </w:tcPr>
          <w:p>
            <w:r>
              <w:rPr>
                <w:rFonts w:ascii="Calibri" w:hAnsi="Calibri"/>
                <w:sz w:val="22"/>
              </w:rPr>
              <w:t>$2.69</w:t>
            </w:r>
          </w:p>
        </w:tc>
        <w:tc>
          <w:tcPr>
            <w:tcW w:type="dxa" w:w="1440"/>
          </w:tcPr>
          <w:p>
            <w:r>
              <w:rPr>
                <w:rFonts w:ascii="Calibri" w:hAnsi="Calibri"/>
                <w:sz w:val="22"/>
              </w:rPr>
              <w:t>$2.12</w:t>
            </w:r>
          </w:p>
        </w:tc>
        <w:tc>
          <w:tcPr>
            <w:tcW w:type="dxa" w:w="1440"/>
          </w:tcPr>
          <w:p>
            <w:r>
              <w:rPr>
                <w:rFonts w:ascii="Calibri" w:hAnsi="Calibri"/>
                <w:b/>
                <w:color w:val="30A46C"/>
                <w:sz w:val="22"/>
              </w:rPr>
              <w:t>+27.0%</w:t>
            </w:r>
          </w:p>
        </w:tc>
        <w:tc>
          <w:tcPr>
            <w:tcW w:type="dxa" w:w="1440"/>
          </w:tcPr>
          <w:p>
            <w:r>
              <w:rPr>
                <w:rFonts w:ascii="Calibri" w:hAnsi="Calibri"/>
                <w:sz w:val="22"/>
              </w:rPr>
              <w:t>Significant Beat</w:t>
            </w:r>
          </w:p>
        </w:tc>
      </w:tr>
      <w:tr>
        <w:tc>
          <w:tcPr>
            <w:tcW w:type="dxa" w:w="1440"/>
          </w:tcPr>
          <w:p>
            <w:r>
              <w:rPr>
                <w:rFonts w:ascii="Calibri" w:hAnsi="Calibri"/>
                <w:sz w:val="22"/>
              </w:rPr>
              <w:t>Q1 FY26</w:t>
            </w:r>
          </w:p>
        </w:tc>
        <w:tc>
          <w:tcPr>
            <w:tcW w:type="dxa" w:w="1440"/>
          </w:tcPr>
          <w:p>
            <w:r>
              <w:rPr>
                <w:rFonts w:ascii="Calibri" w:hAnsi="Calibri"/>
                <w:sz w:val="22"/>
              </w:rPr>
              <w:t>CC ARR</w:t>
            </w:r>
          </w:p>
        </w:tc>
        <w:tc>
          <w:tcPr>
            <w:tcW w:type="dxa" w:w="1440"/>
          </w:tcPr>
          <w:p>
            <w:r>
              <w:rPr>
                <w:rFonts w:ascii="Calibri" w:hAnsi="Calibri"/>
                <w:sz w:val="22"/>
              </w:rPr>
              <w:t>$2,500M</w:t>
            </w:r>
          </w:p>
        </w:tc>
        <w:tc>
          <w:tcPr>
            <w:tcW w:type="dxa" w:w="1440"/>
          </w:tcPr>
          <w:p>
            <w:r>
              <w:rPr>
                <w:rFonts w:ascii="Calibri" w:hAnsi="Calibri"/>
                <w:sz w:val="22"/>
              </w:rPr>
              <w:t>$2,498M</w:t>
            </w:r>
          </w:p>
        </w:tc>
        <w:tc>
          <w:tcPr>
            <w:tcW w:type="dxa" w:w="1440"/>
          </w:tcPr>
          <w:p>
            <w:r>
              <w:rPr>
                <w:rFonts w:ascii="Calibri" w:hAnsi="Calibri"/>
                <w:b/>
                <w:color w:val="30A46C"/>
                <w:sz w:val="22"/>
              </w:rPr>
              <w:t>+0.1%</w:t>
            </w:r>
          </w:p>
        </w:tc>
        <w:tc>
          <w:tcPr>
            <w:tcW w:type="dxa" w:w="1440"/>
          </w:tcPr>
          <w:p>
            <w:r>
              <w:rPr>
                <w:rFonts w:ascii="Calibri" w:hAnsi="Calibri"/>
                <w:sz w:val="22"/>
              </w:rPr>
              <w:t>Beat</w:t>
            </w:r>
          </w:p>
        </w:tc>
      </w:tr>
      <w:tr>
        <w:tc>
          <w:tcPr>
            <w:tcW w:type="dxa" w:w="1440"/>
          </w:tcPr>
          <w:p>
            <w:r>
              <w:rPr>
                <w:rFonts w:ascii="Calibri" w:hAnsi="Calibri"/>
                <w:sz w:val="22"/>
              </w:rPr>
              <w:t>Q1 FY26</w:t>
            </w:r>
          </w:p>
        </w:tc>
        <w:tc>
          <w:tcPr>
            <w:tcW w:type="dxa" w:w="1440"/>
          </w:tcPr>
          <w:p>
            <w:r>
              <w:rPr>
                <w:rFonts w:ascii="Calibri" w:hAnsi="Calibri"/>
                <w:sz w:val="22"/>
              </w:rPr>
              <w:t>Non-GAAP EPS</w:t>
            </w:r>
          </w:p>
        </w:tc>
        <w:tc>
          <w:tcPr>
            <w:tcW w:type="dxa" w:w="1440"/>
          </w:tcPr>
          <w:p>
            <w:r>
              <w:rPr>
                <w:rFonts w:ascii="Calibri" w:hAnsi="Calibri"/>
                <w:sz w:val="22"/>
              </w:rPr>
              <w:t>$1.92</w:t>
            </w:r>
          </w:p>
        </w:tc>
        <w:tc>
          <w:tcPr>
            <w:tcW w:type="dxa" w:w="1440"/>
          </w:tcPr>
          <w:p>
            <w:r>
              <w:rPr>
                <w:rFonts w:ascii="Calibri" w:hAnsi="Calibri"/>
                <w:sz w:val="22"/>
              </w:rPr>
              <w:t>$1.56</w:t>
            </w:r>
          </w:p>
        </w:tc>
        <w:tc>
          <w:tcPr>
            <w:tcW w:type="dxa" w:w="1440"/>
          </w:tcPr>
          <w:p>
            <w:r>
              <w:rPr>
                <w:rFonts w:ascii="Calibri" w:hAnsi="Calibri"/>
                <w:b/>
                <w:color w:val="30A46C"/>
                <w:sz w:val="22"/>
              </w:rPr>
              <w:t>+23.1%</w:t>
            </w:r>
          </w:p>
        </w:tc>
        <w:tc>
          <w:tcPr>
            <w:tcW w:type="dxa" w:w="1440"/>
          </w:tcPr>
          <w:p>
            <w:r>
              <w:rPr>
                <w:rFonts w:ascii="Calibri" w:hAnsi="Calibri"/>
                <w:sz w:val="22"/>
              </w:rPr>
              <w:t>Significant Beat</w:t>
            </w:r>
          </w:p>
        </w:tc>
      </w:tr>
      <w:tr>
        <w:tc>
          <w:tcPr>
            <w:tcW w:type="dxa" w:w="1440"/>
          </w:tcPr>
          <w:p>
            <w:r>
              <w:rPr>
                <w:rFonts w:ascii="Calibri" w:hAnsi="Calibri"/>
                <w:sz w:val="22"/>
              </w:rPr>
              <w:t>Q4 FY25</w:t>
            </w:r>
          </w:p>
        </w:tc>
        <w:tc>
          <w:tcPr>
            <w:tcW w:type="dxa" w:w="1440"/>
          </w:tcPr>
          <w:p>
            <w:r>
              <w:rPr>
                <w:rFonts w:ascii="Calibri" w:hAnsi="Calibri"/>
                <w:sz w:val="22"/>
              </w:rPr>
              <w:t>CC ARR</w:t>
            </w:r>
          </w:p>
        </w:tc>
        <w:tc>
          <w:tcPr>
            <w:tcW w:type="dxa" w:w="1440"/>
          </w:tcPr>
          <w:p>
            <w:r>
              <w:rPr>
                <w:rFonts w:ascii="Calibri" w:hAnsi="Calibri"/>
                <w:sz w:val="22"/>
              </w:rPr>
              <w:t>$2,478M</w:t>
            </w:r>
          </w:p>
        </w:tc>
        <w:tc>
          <w:tcPr>
            <w:tcW w:type="dxa" w:w="1440"/>
          </w:tcPr>
          <w:p>
            <w:r>
              <w:rPr>
                <w:rFonts w:ascii="Calibri" w:hAnsi="Calibri"/>
                <w:sz w:val="22"/>
              </w:rPr>
              <w:t>$2,445M</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FY25</w:t>
            </w:r>
          </w:p>
        </w:tc>
        <w:tc>
          <w:tcPr>
            <w:tcW w:type="dxa" w:w="1440"/>
          </w:tcPr>
          <w:p>
            <w:r>
              <w:rPr>
                <w:rFonts w:ascii="Calibri" w:hAnsi="Calibri"/>
                <w:sz w:val="22"/>
              </w:rPr>
              <w:t>Non-GAAP EPS</w:t>
            </w:r>
          </w:p>
        </w:tc>
        <w:tc>
          <w:tcPr>
            <w:tcW w:type="dxa" w:w="1440"/>
          </w:tcPr>
          <w:p>
            <w:r>
              <w:rPr>
                <w:rFonts w:ascii="Calibri" w:hAnsi="Calibri"/>
                <w:sz w:val="22"/>
              </w:rPr>
              <w:t>$3.41</w:t>
            </w:r>
          </w:p>
        </w:tc>
        <w:tc>
          <w:tcPr>
            <w:tcW w:type="dxa" w:w="1440"/>
          </w:tcPr>
          <w:p>
            <w:r>
              <w:rPr>
                <w:rFonts w:ascii="Calibri" w:hAnsi="Calibri"/>
                <w:sz w:val="22"/>
              </w:rPr>
              <w:t>$2.27</w:t>
            </w:r>
          </w:p>
        </w:tc>
        <w:tc>
          <w:tcPr>
            <w:tcW w:type="dxa" w:w="1440"/>
          </w:tcPr>
          <w:p>
            <w:r>
              <w:rPr>
                <w:rFonts w:ascii="Calibri" w:hAnsi="Calibri"/>
                <w:b/>
                <w:color w:val="30A46C"/>
                <w:sz w:val="22"/>
              </w:rPr>
              <w:t>+50.2%</w:t>
            </w:r>
          </w:p>
        </w:tc>
        <w:tc>
          <w:tcPr>
            <w:tcW w:type="dxa" w:w="1440"/>
          </w:tcPr>
          <w:p>
            <w:r>
              <w:rPr>
                <w:rFonts w:ascii="Calibri" w:hAnsi="Calibri"/>
                <w:sz w:val="22"/>
              </w:rPr>
              <w:t>Significant Beat</w:t>
            </w:r>
          </w:p>
        </w:tc>
      </w:tr>
      <w:tr>
        <w:tc>
          <w:tcPr>
            <w:tcW w:type="dxa" w:w="1440"/>
          </w:tcPr>
          <w:p>
            <w:r>
              <w:rPr>
                <w:rFonts w:ascii="Calibri" w:hAnsi="Calibri"/>
                <w:sz w:val="22"/>
              </w:rPr>
              <w:t>Q3 FY25</w:t>
            </w:r>
          </w:p>
        </w:tc>
        <w:tc>
          <w:tcPr>
            <w:tcW w:type="dxa" w:w="1440"/>
          </w:tcPr>
          <w:p>
            <w:r>
              <w:rPr>
                <w:rFonts w:ascii="Calibri" w:hAnsi="Calibri"/>
                <w:sz w:val="22"/>
              </w:rPr>
              <w:t>CC ARR</w:t>
            </w:r>
          </w:p>
        </w:tc>
        <w:tc>
          <w:tcPr>
            <w:tcW w:type="dxa" w:w="1440"/>
          </w:tcPr>
          <w:p>
            <w:r>
              <w:rPr>
                <w:rFonts w:ascii="Calibri" w:hAnsi="Calibri"/>
                <w:sz w:val="22"/>
              </w:rPr>
              <w:t>$2,245M</w:t>
            </w:r>
          </w:p>
        </w:tc>
        <w:tc>
          <w:tcPr>
            <w:tcW w:type="dxa" w:w="1440"/>
          </w:tcPr>
          <w:p>
            <w:r>
              <w:rPr>
                <w:rFonts w:ascii="Calibri" w:hAnsi="Calibri"/>
                <w:sz w:val="22"/>
              </w:rPr>
              <w:t>$2,365M</w:t>
            </w:r>
          </w:p>
        </w:tc>
        <w:tc>
          <w:tcPr>
            <w:tcW w:type="dxa" w:w="1440"/>
          </w:tcPr>
          <w:p>
            <w:r>
              <w:rPr>
                <w:rFonts w:ascii="Calibri" w:hAnsi="Calibri"/>
                <w:b/>
                <w:color w:val="E5484D"/>
                <w:sz w:val="22"/>
              </w:rPr>
              <w:t>-5.1%</w:t>
            </w:r>
          </w:p>
        </w:tc>
        <w:tc>
          <w:tcPr>
            <w:tcW w:type="dxa" w:w="1440"/>
          </w:tcPr>
          <w:p>
            <w:r>
              <w:rPr>
                <w:rFonts w:ascii="Calibri" w:hAnsi="Calibri"/>
                <w:sz w:val="22"/>
              </w:rPr>
              <w:t>Miss</w:t>
            </w:r>
          </w:p>
        </w:tc>
      </w:tr>
      <w:tr>
        <w:tc>
          <w:tcPr>
            <w:tcW w:type="dxa" w:w="1440"/>
          </w:tcPr>
          <w:p>
            <w:r>
              <w:rPr>
                <w:rFonts w:ascii="Calibri" w:hAnsi="Calibri"/>
                <w:sz w:val="22"/>
              </w:rPr>
              <w:t>Q3 FY25</w:t>
            </w:r>
          </w:p>
        </w:tc>
        <w:tc>
          <w:tcPr>
            <w:tcW w:type="dxa" w:w="1440"/>
          </w:tcPr>
          <w:p>
            <w:r>
              <w:rPr>
                <w:rFonts w:ascii="Calibri" w:hAnsi="Calibri"/>
                <w:sz w:val="22"/>
              </w:rPr>
              <w:t>Non-GAAP EPS</w:t>
            </w:r>
          </w:p>
        </w:tc>
        <w:tc>
          <w:tcPr>
            <w:tcW w:type="dxa" w:w="1440"/>
          </w:tcPr>
          <w:p>
            <w:r>
              <w:rPr>
                <w:rFonts w:ascii="Calibri" w:hAnsi="Calibri"/>
                <w:sz w:val="22"/>
              </w:rPr>
              <w:t>$1.64</w:t>
            </w:r>
          </w:p>
        </w:tc>
        <w:tc>
          <w:tcPr>
            <w:tcW w:type="dxa" w:w="1440"/>
          </w:tcPr>
          <w:p>
            <w:r>
              <w:rPr>
                <w:rFonts w:ascii="Calibri" w:hAnsi="Calibri"/>
                <w:sz w:val="22"/>
              </w:rPr>
              <w:t>$1.20</w:t>
            </w:r>
          </w:p>
        </w:tc>
        <w:tc>
          <w:tcPr>
            <w:tcW w:type="dxa" w:w="1440"/>
          </w:tcPr>
          <w:p>
            <w:r>
              <w:rPr>
                <w:rFonts w:ascii="Calibri" w:hAnsi="Calibri"/>
                <w:b/>
                <w:color w:val="30A46C"/>
                <w:sz w:val="22"/>
              </w:rPr>
              <w:t>+36.7%</w:t>
            </w:r>
          </w:p>
        </w:tc>
        <w:tc>
          <w:tcPr>
            <w:tcW w:type="dxa" w:w="1440"/>
          </w:tcPr>
          <w:p>
            <w:r>
              <w:rPr>
                <w:rFonts w:ascii="Calibri" w:hAnsi="Calibri"/>
                <w:sz w:val="22"/>
              </w:rPr>
              <w:t>Beat</w:t>
            </w:r>
          </w:p>
        </w:tc>
      </w:tr>
      <w:tr>
        <w:tc>
          <w:tcPr>
            <w:tcW w:type="dxa" w:w="1440"/>
          </w:tcPr>
          <w:p>
            <w:r>
              <w:rPr>
                <w:rFonts w:ascii="Calibri" w:hAnsi="Calibri"/>
                <w:sz w:val="22"/>
              </w:rPr>
              <w:t>Q2 FY25</w:t>
            </w:r>
          </w:p>
        </w:tc>
        <w:tc>
          <w:tcPr>
            <w:tcW w:type="dxa" w:w="1440"/>
          </w:tcPr>
          <w:p>
            <w:r>
              <w:rPr>
                <w:rFonts w:ascii="Calibri" w:hAnsi="Calibri"/>
                <w:sz w:val="22"/>
              </w:rPr>
              <w:t>CC ARR</w:t>
            </w:r>
          </w:p>
        </w:tc>
        <w:tc>
          <w:tcPr>
            <w:tcW w:type="dxa" w:w="1440"/>
          </w:tcPr>
          <w:p>
            <w:r>
              <w:rPr>
                <w:rFonts w:ascii="Calibri" w:hAnsi="Calibri"/>
                <w:sz w:val="22"/>
              </w:rPr>
              <w:t>$2,200M</w:t>
            </w:r>
          </w:p>
        </w:tc>
        <w:tc>
          <w:tcPr>
            <w:tcW w:type="dxa" w:w="1440"/>
          </w:tcPr>
          <w:p>
            <w:r>
              <w:rPr>
                <w:rFonts w:ascii="Calibri" w:hAnsi="Calibri"/>
                <w:sz w:val="22"/>
              </w:rPr>
              <w:t>$2,319M</w:t>
            </w:r>
          </w:p>
        </w:tc>
        <w:tc>
          <w:tcPr>
            <w:tcW w:type="dxa" w:w="1440"/>
          </w:tcPr>
          <w:p>
            <w:r>
              <w:rPr>
                <w:rFonts w:ascii="Calibri" w:hAnsi="Calibri"/>
                <w:b/>
                <w:color w:val="E5484D"/>
                <w:sz w:val="22"/>
              </w:rPr>
              <w:t>-5.1%</w:t>
            </w:r>
          </w:p>
        </w:tc>
        <w:tc>
          <w:tcPr>
            <w:tcW w:type="dxa" w:w="1440"/>
          </w:tcPr>
          <w:p>
            <w:r>
              <w:rPr>
                <w:rFonts w:ascii="Calibri" w:hAnsi="Calibri"/>
                <w:sz w:val="22"/>
              </w:rPr>
              <w:t>Miss</w:t>
            </w:r>
          </w:p>
        </w:tc>
      </w:tr>
      <w:tr>
        <w:tc>
          <w:tcPr>
            <w:tcW w:type="dxa" w:w="1440"/>
          </w:tcPr>
          <w:p>
            <w:r>
              <w:rPr>
                <w:rFonts w:ascii="Calibri" w:hAnsi="Calibri"/>
                <w:sz w:val="22"/>
              </w:rPr>
              <w:t>Q2 FY25</w:t>
            </w:r>
          </w:p>
        </w:tc>
        <w:tc>
          <w:tcPr>
            <w:tcW w:type="dxa" w:w="1440"/>
          </w:tcPr>
          <w:p>
            <w:r>
              <w:rPr>
                <w:rFonts w:ascii="Calibri" w:hAnsi="Calibri"/>
                <w:sz w:val="22"/>
              </w:rPr>
              <w:t>Non-GAAP EPS</w:t>
            </w:r>
          </w:p>
        </w:tc>
        <w:tc>
          <w:tcPr>
            <w:tcW w:type="dxa" w:w="1440"/>
          </w:tcPr>
          <w:p>
            <w:r>
              <w:rPr>
                <w:rFonts w:ascii="Calibri" w:hAnsi="Calibri"/>
                <w:sz w:val="22"/>
              </w:rPr>
              <w:t>$1.79</w:t>
            </w:r>
          </w:p>
        </w:tc>
        <w:tc>
          <w:tcPr>
            <w:tcW w:type="dxa" w:w="1440"/>
          </w:tcPr>
          <w:p>
            <w:r>
              <w:rPr>
                <w:rFonts w:ascii="Calibri" w:hAnsi="Calibri"/>
                <w:sz w:val="22"/>
              </w:rPr>
              <w:t>$1.39</w:t>
            </w:r>
          </w:p>
        </w:tc>
        <w:tc>
          <w:tcPr>
            <w:tcW w:type="dxa" w:w="1440"/>
          </w:tcPr>
          <w:p>
            <w:r>
              <w:rPr>
                <w:rFonts w:ascii="Calibri" w:hAnsi="Calibri"/>
                <w:b/>
                <w:color w:val="30A46C"/>
                <w:sz w:val="22"/>
              </w:rPr>
              <w:t>+28.8%</w:t>
            </w:r>
          </w:p>
        </w:tc>
        <w:tc>
          <w:tcPr>
            <w:tcW w:type="dxa" w:w="1440"/>
          </w:tcPr>
          <w:p>
            <w:r>
              <w:rPr>
                <w:rFonts w:ascii="Calibri" w:hAnsi="Calibri"/>
                <w:sz w:val="22"/>
              </w:rPr>
              <w:t>Beat</w:t>
            </w:r>
          </w:p>
        </w:tc>
      </w:tr>
      <w:tr>
        <w:tc>
          <w:tcPr>
            <w:tcW w:type="dxa" w:w="1440"/>
          </w:tcPr>
          <w:p>
            <w:r>
              <w:rPr>
                <w:rFonts w:ascii="Calibri" w:hAnsi="Calibri"/>
                <w:sz w:val="22"/>
              </w:rPr>
              <w:t>Q1 FY25</w:t>
            </w:r>
          </w:p>
        </w:tc>
        <w:tc>
          <w:tcPr>
            <w:tcW w:type="dxa" w:w="1440"/>
          </w:tcPr>
          <w:p>
            <w:r>
              <w:rPr>
                <w:rFonts w:ascii="Calibri" w:hAnsi="Calibri"/>
                <w:sz w:val="22"/>
              </w:rPr>
              <w:t>CC ARR</w:t>
            </w:r>
          </w:p>
        </w:tc>
        <w:tc>
          <w:tcPr>
            <w:tcW w:type="dxa" w:w="1440"/>
          </w:tcPr>
          <w:p>
            <w:r>
              <w:rPr>
                <w:rFonts w:ascii="Calibri" w:hAnsi="Calibri"/>
                <w:sz w:val="22"/>
              </w:rPr>
              <w:t>$2,148M</w:t>
            </w:r>
          </w:p>
        </w:tc>
        <w:tc>
          <w:tcPr>
            <w:tcW w:type="dxa" w:w="1440"/>
          </w:tcPr>
          <w:p>
            <w:r>
              <w:rPr>
                <w:rFonts w:ascii="Calibri" w:hAnsi="Calibri"/>
                <w:sz w:val="22"/>
              </w:rPr>
              <w:t>$2,274M</w:t>
            </w:r>
          </w:p>
        </w:tc>
        <w:tc>
          <w:tcPr>
            <w:tcW w:type="dxa" w:w="1440"/>
          </w:tcPr>
          <w:p>
            <w:r>
              <w:rPr>
                <w:rFonts w:ascii="Calibri" w:hAnsi="Calibri"/>
                <w:b/>
                <w:color w:val="E5484D"/>
                <w:sz w:val="22"/>
              </w:rPr>
              <w:t>-5.5%</w:t>
            </w:r>
          </w:p>
        </w:tc>
        <w:tc>
          <w:tcPr>
            <w:tcW w:type="dxa" w:w="1440"/>
          </w:tcPr>
          <w:p>
            <w:r>
              <w:rPr>
                <w:rFonts w:ascii="Calibri" w:hAnsi="Calibri"/>
                <w:sz w:val="22"/>
              </w:rPr>
              <w:t>Miss</w:t>
            </w:r>
          </w:p>
        </w:tc>
      </w:tr>
      <w:tr>
        <w:tc>
          <w:tcPr>
            <w:tcW w:type="dxa" w:w="1440"/>
          </w:tcPr>
          <w:p>
            <w:r>
              <w:rPr>
                <w:rFonts w:ascii="Calibri" w:hAnsi="Calibri"/>
                <w:sz w:val="22"/>
              </w:rPr>
              <w:t>Q1 FY25</w:t>
            </w:r>
          </w:p>
        </w:tc>
        <w:tc>
          <w:tcPr>
            <w:tcW w:type="dxa" w:w="1440"/>
          </w:tcPr>
          <w:p>
            <w:r>
              <w:rPr>
                <w:rFonts w:ascii="Calibri" w:hAnsi="Calibri"/>
                <w:sz w:val="22"/>
              </w:rPr>
              <w:t>Non-GAAP EPS</w:t>
            </w:r>
          </w:p>
        </w:tc>
        <w:tc>
          <w:tcPr>
            <w:tcW w:type="dxa" w:w="1440"/>
          </w:tcPr>
          <w:p>
            <w:r>
              <w:rPr>
                <w:rFonts w:ascii="Calibri" w:hAnsi="Calibri"/>
                <w:sz w:val="22"/>
              </w:rPr>
              <w:t>$1.10</w:t>
            </w:r>
          </w:p>
        </w:tc>
        <w:tc>
          <w:tcPr>
            <w:tcW w:type="dxa" w:w="1440"/>
          </w:tcPr>
          <w:p>
            <w:r>
              <w:rPr>
                <w:rFonts w:ascii="Calibri" w:hAnsi="Calibri"/>
                <w:sz w:val="22"/>
              </w:rPr>
              <w:t>$0.90</w:t>
            </w:r>
          </w:p>
        </w:tc>
        <w:tc>
          <w:tcPr>
            <w:tcW w:type="dxa" w:w="1440"/>
          </w:tcPr>
          <w:p>
            <w:r>
              <w:rPr>
                <w:rFonts w:ascii="Calibri" w:hAnsi="Calibri"/>
                <w:b/>
                <w:color w:val="30A46C"/>
                <w:sz w:val="22"/>
              </w:rPr>
              <w:t>+22.2%</w:t>
            </w:r>
          </w:p>
        </w:tc>
        <w:tc>
          <w:tcPr>
            <w:tcW w:type="dxa" w:w="1440"/>
          </w:tcPr>
          <w:p>
            <w:r>
              <w:rPr>
                <w:rFonts w:ascii="Calibri" w:hAnsi="Calibri"/>
                <w:sz w:val="22"/>
              </w:rPr>
              <w:t>Beat</w:t>
            </w:r>
          </w:p>
        </w:tc>
      </w:tr>
      <w:tr>
        <w:tc>
          <w:tcPr>
            <w:tcW w:type="dxa" w:w="1440"/>
          </w:tcPr>
          <w:p>
            <w:r>
              <w:rPr>
                <w:rFonts w:ascii="Calibri" w:hAnsi="Calibri"/>
                <w:sz w:val="22"/>
              </w:rPr>
              <w:t>Q4 FY24</w:t>
            </w:r>
          </w:p>
        </w:tc>
        <w:tc>
          <w:tcPr>
            <w:tcW w:type="dxa" w:w="1440"/>
          </w:tcPr>
          <w:p>
            <w:r>
              <w:rPr>
                <w:rFonts w:ascii="Calibri" w:hAnsi="Calibri"/>
                <w:sz w:val="22"/>
              </w:rPr>
              <w:t>CC ARR</w:t>
            </w:r>
          </w:p>
        </w:tc>
        <w:tc>
          <w:tcPr>
            <w:tcW w:type="dxa" w:w="1440"/>
          </w:tcPr>
          <w:p>
            <w:r>
              <w:rPr>
                <w:rFonts w:ascii="Calibri" w:hAnsi="Calibri"/>
                <w:sz w:val="22"/>
              </w:rPr>
              <w:t>$2,285M</w:t>
            </w:r>
          </w:p>
        </w:tc>
        <w:tc>
          <w:tcPr>
            <w:tcW w:type="dxa" w:w="1440"/>
          </w:tcPr>
          <w:p>
            <w:r>
              <w:rPr>
                <w:rFonts w:ascii="Calibri" w:hAnsi="Calibri"/>
                <w:sz w:val="22"/>
              </w:rPr>
              <w:t>$2,210M</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Q4 FY24</w:t>
            </w:r>
          </w:p>
        </w:tc>
        <w:tc>
          <w:tcPr>
            <w:tcW w:type="dxa" w:w="1440"/>
          </w:tcPr>
          <w:p>
            <w:r>
              <w:rPr>
                <w:rFonts w:ascii="Calibri" w:hAnsi="Calibri"/>
                <w:sz w:val="22"/>
              </w:rPr>
              <w:t>Non-GAAP EPS</w:t>
            </w:r>
          </w:p>
        </w:tc>
        <w:tc>
          <w:tcPr>
            <w:tcW w:type="dxa" w:w="1440"/>
          </w:tcPr>
          <w:p>
            <w:r>
              <w:rPr>
                <w:rFonts w:ascii="Calibri" w:hAnsi="Calibri"/>
                <w:sz w:val="22"/>
              </w:rPr>
              <w:t>$1.54</w:t>
            </w:r>
          </w:p>
        </w:tc>
        <w:tc>
          <w:tcPr>
            <w:tcW w:type="dxa" w:w="1440"/>
          </w:tcPr>
          <w:p>
            <w:r>
              <w:rPr>
                <w:rFonts w:ascii="Calibri" w:hAnsi="Calibri"/>
                <w:sz w:val="22"/>
              </w:rPr>
              <w:t>$1.43</w:t>
            </w:r>
          </w:p>
        </w:tc>
        <w:tc>
          <w:tcPr>
            <w:tcW w:type="dxa" w:w="1440"/>
          </w:tcPr>
          <w:p>
            <w:r>
              <w:rPr>
                <w:rFonts w:ascii="Calibri" w:hAnsi="Calibri"/>
                <w:b/>
                <w:color w:val="30A46C"/>
                <w:sz w:val="22"/>
              </w:rPr>
              <w:t>+7.7%</w:t>
            </w:r>
          </w:p>
        </w:tc>
        <w:tc>
          <w:tcPr>
            <w:tcW w:type="dxa" w:w="1440"/>
          </w:tcPr>
          <w:p>
            <w:r>
              <w:rPr>
                <w:rFonts w:ascii="Calibri" w:hAnsi="Calibri"/>
                <w:sz w:val="22"/>
              </w:rPr>
              <w:t>Beat</w:t>
            </w:r>
          </w:p>
        </w:tc>
      </w:tr>
      <w:tr>
        <w:tc>
          <w:tcPr>
            <w:tcW w:type="dxa" w:w="1440"/>
          </w:tcPr>
          <w:p>
            <w:r>
              <w:rPr>
                <w:rFonts w:ascii="Calibri" w:hAnsi="Calibri"/>
                <w:sz w:val="22"/>
              </w:rPr>
              <w:t>Q3 FY24</w:t>
            </w:r>
          </w:p>
        </w:tc>
        <w:tc>
          <w:tcPr>
            <w:tcW w:type="dxa" w:w="1440"/>
          </w:tcPr>
          <w:p>
            <w:r>
              <w:rPr>
                <w:rFonts w:ascii="Calibri" w:hAnsi="Calibri"/>
                <w:sz w:val="22"/>
              </w:rPr>
              <w:t>CC ARR</w:t>
            </w:r>
          </w:p>
        </w:tc>
        <w:tc>
          <w:tcPr>
            <w:tcW w:type="dxa" w:w="1440"/>
          </w:tcPr>
          <w:p>
            <w:r>
              <w:rPr>
                <w:rFonts w:ascii="Calibri" w:hAnsi="Calibri"/>
                <w:sz w:val="22"/>
              </w:rPr>
              <w:t>$2,199M</w:t>
            </w:r>
          </w:p>
        </w:tc>
        <w:tc>
          <w:tcPr>
            <w:tcW w:type="dxa" w:w="1440"/>
          </w:tcPr>
          <w:p>
            <w:r>
              <w:rPr>
                <w:rFonts w:ascii="Calibri" w:hAnsi="Calibri"/>
                <w:sz w:val="22"/>
              </w:rPr>
              <w:t>$2,123M</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Q3 FY24</w:t>
            </w:r>
          </w:p>
        </w:tc>
        <w:tc>
          <w:tcPr>
            <w:tcW w:type="dxa" w:w="1440"/>
          </w:tcPr>
          <w:p>
            <w:r>
              <w:rPr>
                <w:rFonts w:ascii="Calibri" w:hAnsi="Calibri"/>
                <w:sz w:val="22"/>
              </w:rPr>
              <w:t>Non-GAAP EPS</w:t>
            </w:r>
          </w:p>
        </w:tc>
        <w:tc>
          <w:tcPr>
            <w:tcW w:type="dxa" w:w="1440"/>
          </w:tcPr>
          <w:p>
            <w:r>
              <w:rPr>
                <w:rFonts w:ascii="Calibri" w:hAnsi="Calibri"/>
                <w:sz w:val="22"/>
              </w:rPr>
              <w:t>$0.98</w:t>
            </w:r>
          </w:p>
        </w:tc>
        <w:tc>
          <w:tcPr>
            <w:tcW w:type="dxa" w:w="1440"/>
          </w:tcPr>
          <w:p>
            <w:r>
              <w:rPr>
                <w:rFonts w:ascii="Calibri" w:hAnsi="Calibri"/>
                <w:sz w:val="22"/>
              </w:rPr>
              <w:t>$0.97</w:t>
            </w:r>
          </w:p>
        </w:tc>
        <w:tc>
          <w:tcPr>
            <w:tcW w:type="dxa" w:w="1440"/>
          </w:tcPr>
          <w:p>
            <w:r>
              <w:rPr>
                <w:rFonts w:ascii="Calibri" w:hAnsi="Calibri"/>
                <w:b/>
                <w:color w:val="30A46C"/>
                <w:sz w:val="22"/>
              </w:rPr>
              <w:t>+1.0%</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PTC has beaten Non-GAAP EPS in all 8 of the last 8 quarters, often by wide margins (20–50%+), driven by operating leverage and duration-related revenue pull-forward; CC ARR has been more mixed — 3 misses in FY25 (Q1–Q3) followed by 3 consecutive beats in Q4 FY25 through Q2 FY26 — suggesting the go-to-market transformation is gaining traction but the ARR bar was reset lower after the FY25 misses.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stable-to-positive since the Q2 FY26 print — full-year ARR range unchanged, revenue and EPS raised. </w:t>
      </w:r>
      <w:r>
        <w:rPr>
          <w:rFonts w:ascii="Calibri" w:hAnsi="Calibri"/>
          <w:color w:val="525866"/>
          <w:sz w:val="22"/>
        </w:rPr>
        <w:t>Management tone has shifted from cautiously confident to explicitly bullish, with the lower end of the ARR range described as "de-risked" and the Q4 deferred ARR step-up characterized as having "clear visibility."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FY26 Earnings —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FY26 CC ARR Growth (ex-divestitures)</w:t>
            </w:r>
          </w:p>
        </w:tc>
        <w:tc>
          <w:tcPr>
            <w:tcW w:type="dxa" w:w="1728"/>
          </w:tcPr>
          <w:p>
            <w:r>
              <w:rPr>
                <w:rFonts w:ascii="Calibri" w:hAnsi="Calibri"/>
                <w:sz w:val="22"/>
              </w:rPr>
              <w:t>~8–9% YoY ($2,403–$2,447M)</w:t>
            </w:r>
          </w:p>
        </w:tc>
        <w:tc>
          <w:tcPr>
            <w:tcW w:type="dxa" w:w="1728"/>
          </w:tcPr>
          <w:p>
            <w:r>
              <w:rPr>
                <w:rFonts w:ascii="Calibri" w:hAnsi="Calibri"/>
                <w:sz w:val="22"/>
              </w:rPr>
              <w:t>—</w:t>
            </w:r>
          </w:p>
        </w:tc>
        <w:tc>
          <w:tcPr>
            <w:tcW w:type="dxa" w:w="1728"/>
          </w:tcPr>
          <w:p>
            <w:r>
              <w:rPr>
                <w:rFonts w:ascii="Calibri" w:hAnsi="Calibri"/>
                <w:sz w:val="22"/>
              </w:rPr>
              <w:t>$2,436M (+8.5% YoY)</w:t>
            </w:r>
          </w:p>
        </w:tc>
        <w:tc>
          <w:tcPr>
            <w:tcW w:type="dxa" w:w="1728"/>
          </w:tcPr>
          <w:p>
            <w:r>
              <w:rPr>
                <w:rFonts w:ascii="Calibri" w:hAnsi="Calibri"/>
                <w:sz w:val="22"/>
              </w:rPr>
              <w:t>Unchanged; consensus at midpoint of range</w:t>
            </w:r>
          </w:p>
        </w:tc>
      </w:tr>
      <w:tr>
        <w:tc>
          <w:tcPr>
            <w:tcW w:type="dxa" w:w="1728"/>
          </w:tcPr>
          <w:p>
            <w:r>
              <w:rPr>
                <w:rFonts w:ascii="Calibri" w:hAnsi="Calibri"/>
                <w:sz w:val="22"/>
              </w:rPr>
              <w:t>Q3 FY26 Net New ARR</w:t>
            </w:r>
          </w:p>
        </w:tc>
        <w:tc>
          <w:tcPr>
            <w:tcW w:type="dxa" w:w="1728"/>
          </w:tcPr>
          <w:p>
            <w:r>
              <w:rPr>
                <w:rFonts w:ascii="Calibri" w:hAnsi="Calibri"/>
                <w:sz w:val="22"/>
              </w:rPr>
              <w:t>$40–55M (YoY growth)</w:t>
            </w:r>
          </w:p>
        </w:tc>
        <w:tc>
          <w:tcPr>
            <w:tcW w:type="dxa" w:w="1728"/>
          </w:tcPr>
          <w:p>
            <w:r>
              <w:rPr>
                <w:rFonts w:ascii="Calibri" w:hAnsi="Calibri"/>
                <w:sz w:val="22"/>
              </w:rPr>
              <w:t>—</w:t>
            </w:r>
          </w:p>
        </w:tc>
        <w:tc>
          <w:tcPr>
            <w:tcW w:type="dxa" w:w="1728"/>
          </w:tcPr>
          <w:p>
            <w:r>
              <w:rPr>
                <w:rFonts w:ascii="Calibri" w:hAnsi="Calibri"/>
                <w:sz w:val="22"/>
              </w:rPr>
              <w:t>$47.9M</w:t>
            </w:r>
          </w:p>
        </w:tc>
        <w:tc>
          <w:tcPr>
            <w:tcW w:type="dxa" w:w="1728"/>
          </w:tcPr>
          <w:p>
            <w:r>
              <w:rPr>
                <w:rFonts w:ascii="Calibri" w:hAnsi="Calibri"/>
                <w:sz w:val="22"/>
              </w:rPr>
              <w:t>Unchanged; consensus near midpoint</w:t>
            </w:r>
          </w:p>
        </w:tc>
      </w:tr>
      <w:tr>
        <w:tc>
          <w:tcPr>
            <w:tcW w:type="dxa" w:w="1728"/>
          </w:tcPr>
          <w:p>
            <w:r>
              <w:rPr>
                <w:rFonts w:ascii="Calibri" w:hAnsi="Calibri"/>
                <w:sz w:val="22"/>
              </w:rPr>
              <w:t>Q3 FY26 Free Cash Flow</w:t>
            </w:r>
          </w:p>
        </w:tc>
        <w:tc>
          <w:tcPr>
            <w:tcW w:type="dxa" w:w="1728"/>
          </w:tcPr>
          <w:p>
            <w:r>
              <w:rPr>
                <w:rFonts w:ascii="Calibri" w:hAnsi="Calibri"/>
                <w:sz w:val="22"/>
              </w:rPr>
              <w:t>$240–$245M</w:t>
            </w:r>
          </w:p>
        </w:tc>
        <w:tc>
          <w:tcPr>
            <w:tcW w:type="dxa" w:w="1728"/>
          </w:tcPr>
          <w:p>
            <w:r>
              <w:rPr>
                <w:rFonts w:ascii="Calibri" w:hAnsi="Calibri"/>
                <w:sz w:val="22"/>
              </w:rPr>
              <w:t>—</w:t>
            </w:r>
          </w:p>
        </w:tc>
        <w:tc>
          <w:tcPr>
            <w:tcW w:type="dxa" w:w="1728"/>
          </w:tcPr>
          <w:p>
            <w:r>
              <w:rPr>
                <w:rFonts w:ascii="Calibri" w:hAnsi="Calibri"/>
                <w:sz w:val="22"/>
              </w:rPr>
              <w:t>$246.8M</w:t>
            </w:r>
          </w:p>
        </w:tc>
        <w:tc>
          <w:tcPr>
            <w:tcW w:type="dxa" w:w="1728"/>
          </w:tcPr>
          <w:p>
            <w:r>
              <w:rPr>
                <w:rFonts w:ascii="Calibri" w:hAnsi="Calibri"/>
                <w:sz w:val="22"/>
              </w:rPr>
              <w:t>Unchanged; consensus slightly above range top</w:t>
            </w:r>
          </w:p>
        </w:tc>
      </w:tr>
      <w:tr>
        <w:tc>
          <w:tcPr>
            <w:tcW w:type="dxa" w:w="1728"/>
          </w:tcPr>
          <w:p>
            <w:r>
              <w:rPr>
                <w:rFonts w:ascii="Calibri" w:hAnsi="Calibri"/>
                <w:sz w:val="22"/>
              </w:rPr>
              <w:t>FY26 CC ARR Growth (ex-divestitures)</w:t>
            </w:r>
          </w:p>
        </w:tc>
        <w:tc>
          <w:tcPr>
            <w:tcW w:type="dxa" w:w="1728"/>
          </w:tcPr>
          <w:p>
            <w:r>
              <w:rPr>
                <w:rFonts w:ascii="Calibri" w:hAnsi="Calibri"/>
                <w:sz w:val="22"/>
              </w:rPr>
              <w:t>~7.5–9.5% YoY</w:t>
            </w:r>
          </w:p>
        </w:tc>
        <w:tc>
          <w:tcPr>
            <w:tcW w:type="dxa" w:w="1728"/>
          </w:tcPr>
          <w:p>
            <w:r>
              <w:rPr>
                <w:rFonts w:ascii="Calibri" w:hAnsi="Calibri"/>
                <w:sz w:val="22"/>
              </w:rPr>
              <w:t>—</w:t>
            </w:r>
          </w:p>
        </w:tc>
        <w:tc>
          <w:tcPr>
            <w:tcW w:type="dxa" w:w="1728"/>
          </w:tcPr>
          <w:p>
            <w:r>
              <w:rPr>
                <w:rFonts w:ascii="Calibri" w:hAnsi="Calibri"/>
                <w:sz w:val="22"/>
              </w:rPr>
              <w:t>+1.5% YoY ($2,519M)</w:t>
            </w:r>
          </w:p>
        </w:tc>
        <w:tc>
          <w:tcPr>
            <w:tcW w:type="dxa" w:w="1728"/>
          </w:tcPr>
          <w:p>
            <w:r>
              <w:rPr>
                <w:rFonts w:ascii="Calibri" w:hAnsi="Calibri"/>
                <w:sz w:val="22"/>
              </w:rPr>
              <w:t>Unchanged; consensus implies low end of range; note VA FY label reflects full-year ARR level, not growth rate</w:t>
            </w:r>
          </w:p>
        </w:tc>
      </w:tr>
      <w:tr>
        <w:tc>
          <w:tcPr>
            <w:tcW w:type="dxa" w:w="1728"/>
          </w:tcPr>
          <w:p>
            <w:r>
              <w:rPr>
                <w:rFonts w:ascii="Calibri" w:hAnsi="Calibri"/>
                <w:sz w:val="22"/>
              </w:rPr>
              <w:t>FY26 Total Revenue (Operating)</w:t>
            </w:r>
          </w:p>
        </w:tc>
        <w:tc>
          <w:tcPr>
            <w:tcW w:type="dxa" w:w="1728"/>
          </w:tcPr>
          <w:p>
            <w:r>
              <w:rPr>
                <w:rFonts w:ascii="Calibri" w:hAnsi="Calibri"/>
                <w:sz w:val="22"/>
              </w:rPr>
              <w:t>$2,580–$2,820M (raised from prior range)</w:t>
            </w:r>
          </w:p>
        </w:tc>
        <w:tc>
          <w:tcPr>
            <w:tcW w:type="dxa" w:w="1728"/>
          </w:tcPr>
          <w:p>
            <w:r>
              <w:rPr>
                <w:rFonts w:ascii="Calibri" w:hAnsi="Calibri"/>
                <w:sz w:val="22"/>
              </w:rPr>
              <w:t>—</w:t>
            </w:r>
          </w:p>
        </w:tc>
        <w:tc>
          <w:tcPr>
            <w:tcW w:type="dxa" w:w="1728"/>
          </w:tcPr>
          <w:p>
            <w:r>
              <w:rPr>
                <w:rFonts w:ascii="Calibri" w:hAnsi="Calibri"/>
                <w:sz w:val="22"/>
              </w:rPr>
              <w:t>$2,712M</w:t>
            </w:r>
          </w:p>
        </w:tc>
        <w:tc>
          <w:tcPr>
            <w:tcW w:type="dxa" w:w="1728"/>
          </w:tcPr>
          <w:p>
            <w:r>
              <w:rPr>
                <w:rFonts w:ascii="Calibri" w:hAnsi="Calibri"/>
                <w:sz w:val="22"/>
              </w:rPr>
              <w:t>↑ Raised at Q2 FY26 earnings May 6, 2026; reflects Q2 duration-driven upside and FX tailwinds</w:t>
            </w:r>
          </w:p>
        </w:tc>
      </w:tr>
      <w:tr>
        <w:tc>
          <w:tcPr>
            <w:tcW w:type="dxa" w:w="1728"/>
          </w:tcPr>
          <w:p>
            <w:r>
              <w:rPr>
                <w:rFonts w:ascii="Calibri" w:hAnsi="Calibri"/>
                <w:sz w:val="22"/>
              </w:rPr>
              <w:t>FY26 Non-GAAP EPS</w:t>
            </w:r>
          </w:p>
        </w:tc>
        <w:tc>
          <w:tcPr>
            <w:tcW w:type="dxa" w:w="1728"/>
          </w:tcPr>
          <w:p>
            <w:r>
              <w:rPr>
                <w:rFonts w:ascii="Calibri" w:hAnsi="Calibri"/>
                <w:sz w:val="22"/>
              </w:rPr>
              <w:t>$6.65–$8.90 (raised from prior range)</w:t>
            </w:r>
          </w:p>
        </w:tc>
        <w:tc>
          <w:tcPr>
            <w:tcW w:type="dxa" w:w="1728"/>
          </w:tcPr>
          <w:p>
            <w:r>
              <w:rPr>
                <w:rFonts w:ascii="Calibri" w:hAnsi="Calibri"/>
                <w:sz w:val="22"/>
              </w:rPr>
              <w:t>—</w:t>
            </w:r>
          </w:p>
        </w:tc>
        <w:tc>
          <w:tcPr>
            <w:tcW w:type="dxa" w:w="1728"/>
          </w:tcPr>
          <w:p>
            <w:r>
              <w:rPr>
                <w:rFonts w:ascii="Calibri" w:hAnsi="Calibri"/>
                <w:sz w:val="22"/>
              </w:rPr>
              <w:t>$7.95</w:t>
            </w:r>
          </w:p>
        </w:tc>
        <w:tc>
          <w:tcPr>
            <w:tcW w:type="dxa" w:w="1728"/>
          </w:tcPr>
          <w:p>
            <w:r>
              <w:rPr>
                <w:rFonts w:ascii="Calibri" w:hAnsi="Calibri"/>
                <w:sz w:val="22"/>
              </w:rPr>
              <w:t>↑ Raised at Q2 FY26 earnings May 6, 2026; reflects operating leverage and buyback benefit</w:t>
            </w:r>
          </w:p>
        </w:tc>
      </w:tr>
      <w:tr>
        <w:tc>
          <w:tcPr>
            <w:tcW w:type="dxa" w:w="1728"/>
          </w:tcPr>
          <w:p>
            <w:r>
              <w:rPr>
                <w:rFonts w:ascii="Calibri" w:hAnsi="Calibri"/>
                <w:sz w:val="22"/>
              </w:rPr>
              <w:t>FY26 Free Cash Flow</w:t>
            </w:r>
          </w:p>
        </w:tc>
        <w:tc>
          <w:tcPr>
            <w:tcW w:type="dxa" w:w="1728"/>
          </w:tcPr>
          <w:p>
            <w:r>
              <w:rPr>
                <w:rFonts w:ascii="Calibri" w:hAnsi="Calibri"/>
                <w:sz w:val="22"/>
              </w:rPr>
              <w:t>$850M (normalized baseline $950M for FY27 modeling)</w:t>
            </w:r>
          </w:p>
        </w:tc>
        <w:tc>
          <w:tcPr>
            <w:tcW w:type="dxa" w:w="1728"/>
          </w:tcPr>
          <w:p>
            <w:r>
              <w:rPr>
                <w:rFonts w:ascii="Calibri" w:hAnsi="Calibri"/>
                <w:sz w:val="22"/>
              </w:rPr>
              <w:t>—</w:t>
            </w:r>
          </w:p>
        </w:tc>
        <w:tc>
          <w:tcPr>
            <w:tcW w:type="dxa" w:w="1728"/>
          </w:tcPr>
          <w:p>
            <w:r>
              <w:rPr>
                <w:rFonts w:ascii="Calibri" w:hAnsi="Calibri"/>
                <w:sz w:val="22"/>
              </w:rPr>
              <w:t>$852M</w:t>
            </w:r>
          </w:p>
        </w:tc>
        <w:tc>
          <w:tcPr>
            <w:tcW w:type="dxa" w:w="1728"/>
          </w:tcPr>
          <w:p>
            <w:r>
              <w:rPr>
                <w:rFonts w:ascii="Calibri" w:hAnsi="Calibri"/>
                <w:sz w:val="22"/>
              </w:rPr>
              <w:t>Unchanged; $100M of non-recurring divestiture items embedded; FY27 baseline = $950M</w:t>
            </w:r>
          </w:p>
        </w:tc>
      </w:tr>
      <w:tr>
        <w:tc>
          <w:tcPr>
            <w:tcW w:type="dxa" w:w="1728"/>
          </w:tcPr>
          <w:p>
            <w:r>
              <w:rPr>
                <w:rFonts w:ascii="Calibri" w:hAnsi="Calibri"/>
                <w:sz w:val="22"/>
              </w:rPr>
              <w:t>FY26 Share Repurchases</w:t>
            </w:r>
          </w:p>
        </w:tc>
        <w:tc>
          <w:tcPr>
            <w:tcW w:type="dxa" w:w="1728"/>
          </w:tcPr>
          <w:p>
            <w:r>
              <w:rPr>
                <w:rFonts w:ascii="Calibri" w:hAnsi="Calibri"/>
                <w:sz w:val="22"/>
              </w:rPr>
              <w:t>$1,225–$1,325M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New $2B buyback authorized for FY27–FY28 (effective Oct 1, 2026); signals management conviction</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stable-to-slightly-positive since the Q2 print — ARR consensus is essentially flat, EPS has drifted up modestly on buyback math, and FCF is unchanged. </w:t>
      </w:r>
      <w:r>
        <w:rPr>
          <w:rFonts w:ascii="Calibri" w:hAnsi="Calibri"/>
          <w:color w:val="525866"/>
          <w:sz w:val="22"/>
        </w:rPr>
        <w:t>The gap between consensus and guidance is narrow on ARR (consensus at midpoint) but wide on EPS (consensus at midpoint of a very wide $6.65–$8.90 range), reflecting duration-driven revenue uncertainty rather than fundamental deterioration.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May 11, 2026)</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w:t>
            </w:r>
          </w:p>
        </w:tc>
      </w:tr>
      <w:tr>
        <w:tc>
          <w:tcPr>
            <w:tcW w:type="dxa" w:w="1080"/>
          </w:tcPr>
          <w:p>
            <w:r>
              <w:rPr>
                <w:rFonts w:ascii="Calibri" w:hAnsi="Calibri"/>
                <w:sz w:val="22"/>
              </w:rPr>
              <w:t>CC ARR — Q3 FY26</w:t>
            </w:r>
          </w:p>
        </w:tc>
        <w:tc>
          <w:tcPr>
            <w:tcW w:type="dxa" w:w="1080"/>
          </w:tcPr>
          <w:p>
            <w:r>
              <w:rPr>
                <w:rFonts w:ascii="Calibri" w:hAnsi="Calibri"/>
                <w:sz w:val="22"/>
              </w:rPr>
              <w:t>$2,436M</w:t>
            </w:r>
          </w:p>
        </w:tc>
        <w:tc>
          <w:tcPr>
            <w:tcW w:type="dxa" w:w="1080"/>
          </w:tcPr>
          <w:p>
            <w:r>
              <w:rPr>
                <w:rFonts w:ascii="Calibri" w:hAnsi="Calibri"/>
                <w:sz w:val="22"/>
              </w:rPr>
              <w:t>$2,436M</w:t>
            </w:r>
          </w:p>
        </w:tc>
        <w:tc>
          <w:tcPr>
            <w:tcW w:type="dxa" w:w="1080"/>
          </w:tcPr>
          <w:p>
            <w:r>
              <w:rPr>
                <w:rFonts w:ascii="Calibri" w:hAnsi="Calibri"/>
                <w:sz w:val="22"/>
              </w:rPr>
              <w:t>0.0%</w:t>
            </w:r>
          </w:p>
        </w:tc>
        <w:tc>
          <w:tcPr>
            <w:tcW w:type="dxa" w:w="1080"/>
          </w:tcPr>
          <w:p>
            <w:r>
              <w:rPr>
                <w:rFonts w:ascii="Calibri" w:hAnsi="Calibri"/>
                <w:sz w:val="22"/>
              </w:rPr>
              <w:t>8–9% growth ($2,403–$2,447M)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 ($2,425M)</w:t>
            </w:r>
          </w:p>
        </w:tc>
      </w:tr>
      <w:tr>
        <w:tc>
          <w:tcPr>
            <w:tcW w:type="dxa" w:w="1080"/>
          </w:tcPr>
          <w:p>
            <w:r>
              <w:rPr>
                <w:rFonts w:ascii="Calibri" w:hAnsi="Calibri"/>
                <w:sz w:val="22"/>
              </w:rPr>
              <w:t>Non-GAAP EPS — Q3 FY26</w:t>
            </w:r>
          </w:p>
        </w:tc>
        <w:tc>
          <w:tcPr>
            <w:tcW w:type="dxa" w:w="1080"/>
          </w:tcPr>
          <w:p>
            <w:r>
              <w:rPr>
                <w:rFonts w:ascii="Calibri" w:hAnsi="Calibri"/>
                <w:sz w:val="22"/>
              </w:rPr>
              <w:t>$1.57</w:t>
            </w:r>
          </w:p>
        </w:tc>
        <w:tc>
          <w:tcPr>
            <w:tcW w:type="dxa" w:w="1080"/>
          </w:tcPr>
          <w:p>
            <w:r>
              <w:rPr>
                <w:rFonts w:ascii="Calibri" w:hAnsi="Calibri"/>
                <w:sz w:val="22"/>
              </w:rPr>
              <w:t>$1.54</w:t>
            </w:r>
          </w:p>
        </w:tc>
        <w:tc>
          <w:tcPr>
            <w:tcW w:type="dxa" w:w="1080"/>
          </w:tcPr>
          <w:p>
            <w:r>
              <w:rPr>
                <w:rFonts w:ascii="Calibri" w:hAnsi="Calibri"/>
                <w:sz w:val="22"/>
              </w:rPr>
              <w:t>-1.9%</w:t>
            </w:r>
          </w:p>
        </w:tc>
        <w:tc>
          <w:tcPr>
            <w:tcW w:type="dxa" w:w="1080"/>
          </w:tcPr>
          <w:p>
            <w:r>
              <w:rPr>
                <w:rFonts w:ascii="Calibri" w:hAnsi="Calibri"/>
                <w:sz w:val="22"/>
              </w:rPr>
              <w:t>$1.24–$1.78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-2.2% vs. mid ($1.51)</w:t>
            </w:r>
          </w:p>
        </w:tc>
      </w:tr>
      <w:tr>
        <w:tc>
          <w:tcPr>
            <w:tcW w:type="dxa" w:w="1080"/>
          </w:tcPr>
          <w:p>
            <w:r>
              <w:rPr>
                <w:rFonts w:ascii="Calibri" w:hAnsi="Calibri"/>
                <w:sz w:val="22"/>
              </w:rPr>
              <w:t>FCF — Q3 FY26</w:t>
            </w:r>
          </w:p>
        </w:tc>
        <w:tc>
          <w:tcPr>
            <w:tcW w:type="dxa" w:w="1080"/>
          </w:tcPr>
          <w:p>
            <w:r>
              <w:rPr>
                <w:rFonts w:ascii="Calibri" w:hAnsi="Calibri"/>
                <w:sz w:val="22"/>
              </w:rPr>
              <w:t>$247M</w:t>
            </w:r>
          </w:p>
        </w:tc>
        <w:tc>
          <w:tcPr>
            <w:tcW w:type="dxa" w:w="1080"/>
          </w:tcPr>
          <w:p>
            <w:r>
              <w:rPr>
                <w:rFonts w:ascii="Calibri" w:hAnsi="Calibri"/>
                <w:sz w:val="22"/>
              </w:rPr>
              <w:t>$247M</w:t>
            </w:r>
          </w:p>
        </w:tc>
        <w:tc>
          <w:tcPr>
            <w:tcW w:type="dxa" w:w="1080"/>
          </w:tcPr>
          <w:p>
            <w:r>
              <w:rPr>
                <w:rFonts w:ascii="Calibri" w:hAnsi="Calibri"/>
                <w:sz w:val="22"/>
              </w:rPr>
              <w:t>0.0%</w:t>
            </w:r>
          </w:p>
        </w:tc>
        <w:tc>
          <w:tcPr>
            <w:tcW w:type="dxa" w:w="1080"/>
          </w:tcPr>
          <w:p>
            <w:r>
              <w:rPr>
                <w:rFonts w:ascii="Calibri" w:hAnsi="Calibri"/>
                <w:sz w:val="22"/>
              </w:rPr>
              <w:t>$240–$245M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 vs. mid ($242.5M)</w:t>
            </w:r>
          </w:p>
        </w:tc>
      </w:tr>
      <w:tr>
        <w:tc>
          <w:tcPr>
            <w:tcW w:type="dxa" w:w="1080"/>
          </w:tcPr>
          <w:p>
            <w:r>
              <w:rPr>
                <w:rFonts w:ascii="Calibri" w:hAnsi="Calibri"/>
                <w:sz w:val="22"/>
              </w:rPr>
              <w:t>CC ARR — FY26</w:t>
            </w:r>
          </w:p>
        </w:tc>
        <w:tc>
          <w:tcPr>
            <w:tcW w:type="dxa" w:w="1080"/>
          </w:tcPr>
          <w:p>
            <w:r>
              <w:rPr>
                <w:rFonts w:ascii="Calibri" w:hAnsi="Calibri"/>
                <w:sz w:val="22"/>
              </w:rPr>
              <w:t>$2,519M</w:t>
            </w:r>
          </w:p>
        </w:tc>
        <w:tc>
          <w:tcPr>
            <w:tcW w:type="dxa" w:w="1080"/>
          </w:tcPr>
          <w:p>
            <w:r>
              <w:rPr>
                <w:rFonts w:ascii="Calibri" w:hAnsi="Calibri"/>
                <w:sz w:val="22"/>
              </w:rPr>
              <w:t>$2,519M</w:t>
            </w:r>
          </w:p>
        </w:tc>
        <w:tc>
          <w:tcPr>
            <w:tcW w:type="dxa" w:w="1080"/>
          </w:tcPr>
          <w:p>
            <w:r>
              <w:rPr>
                <w:rFonts w:ascii="Calibri" w:hAnsi="Calibri"/>
                <w:sz w:val="22"/>
              </w:rPr>
              <w:t>0.0%</w:t>
            </w:r>
          </w:p>
        </w:tc>
        <w:tc>
          <w:tcPr>
            <w:tcW w:type="dxa" w:w="1080"/>
          </w:tcPr>
          <w:p>
            <w:r>
              <w:rPr>
                <w:rFonts w:ascii="Calibri" w:hAnsi="Calibri"/>
                <w:sz w:val="22"/>
              </w:rPr>
              <w:t>7.5–9.5%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Implies low end of range</w:t>
            </w:r>
          </w:p>
        </w:tc>
      </w:tr>
      <w:tr>
        <w:tc>
          <w:tcPr>
            <w:tcW w:type="dxa" w:w="1080"/>
          </w:tcPr>
          <w:p>
            <w:r>
              <w:rPr>
                <w:rFonts w:ascii="Calibri" w:hAnsi="Calibri"/>
                <w:sz w:val="22"/>
              </w:rPr>
              <w:t>Non-GAAP EPS — FY26</w:t>
            </w:r>
          </w:p>
        </w:tc>
        <w:tc>
          <w:tcPr>
            <w:tcW w:type="dxa" w:w="1080"/>
          </w:tcPr>
          <w:p>
            <w:r>
              <w:rPr>
                <w:rFonts w:ascii="Calibri" w:hAnsi="Calibri"/>
                <w:sz w:val="22"/>
              </w:rPr>
              <w:t>$7.91</w:t>
            </w:r>
          </w:p>
        </w:tc>
        <w:tc>
          <w:tcPr>
            <w:tcW w:type="dxa" w:w="1080"/>
          </w:tcPr>
          <w:p>
            <w:r>
              <w:rPr>
                <w:rFonts w:ascii="Calibri" w:hAnsi="Calibri"/>
                <w:sz w:val="22"/>
              </w:rPr>
              <w:t>$7.95</w:t>
            </w:r>
          </w:p>
        </w:tc>
        <w:tc>
          <w:tcPr>
            <w:tcW w:type="dxa" w:w="1080"/>
          </w:tcPr>
          <w:p>
            <w:r>
              <w:rPr>
                <w:rFonts w:ascii="Calibri" w:hAnsi="Calibri"/>
                <w:sz w:val="22"/>
              </w:rPr>
              <w:t>+0.5%</w:t>
            </w:r>
          </w:p>
        </w:tc>
        <w:tc>
          <w:tcPr>
            <w:tcW w:type="dxa" w:w="1080"/>
          </w:tcPr>
          <w:p>
            <w:r>
              <w:rPr>
                <w:rFonts w:ascii="Calibri" w:hAnsi="Calibri"/>
                <w:sz w:val="22"/>
              </w:rPr>
              <w:t>$6.65–$8.90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+2.0% vs. mid ($7.78)</w:t>
            </w:r>
          </w:p>
        </w:tc>
      </w:tr>
      <w:tr>
        <w:tc>
          <w:tcPr>
            <w:tcW w:type="dxa" w:w="1080"/>
          </w:tcPr>
          <w:p>
            <w:r>
              <w:rPr>
                <w:rFonts w:ascii="Calibri" w:hAnsi="Calibri"/>
                <w:sz w:val="22"/>
              </w:rPr>
              <w:t>FCF — FY26</w:t>
            </w:r>
          </w:p>
        </w:tc>
        <w:tc>
          <w:tcPr>
            <w:tcW w:type="dxa" w:w="1080"/>
          </w:tcPr>
          <w:p>
            <w:r>
              <w:rPr>
                <w:rFonts w:ascii="Calibri" w:hAnsi="Calibri"/>
                <w:sz w:val="22"/>
              </w:rPr>
              <w:t>$852M</w:t>
            </w:r>
          </w:p>
        </w:tc>
        <w:tc>
          <w:tcPr>
            <w:tcW w:type="dxa" w:w="1080"/>
          </w:tcPr>
          <w:p>
            <w:r>
              <w:rPr>
                <w:rFonts w:ascii="Calibri" w:hAnsi="Calibri"/>
                <w:sz w:val="22"/>
              </w:rPr>
              <w:t>$852M</w:t>
            </w:r>
          </w:p>
        </w:tc>
        <w:tc>
          <w:tcPr>
            <w:tcW w:type="dxa" w:w="1080"/>
          </w:tcPr>
          <w:p>
            <w:r>
              <w:rPr>
                <w:rFonts w:ascii="Calibri" w:hAnsi="Calibri"/>
                <w:sz w:val="22"/>
              </w:rPr>
              <w:t>0.0%</w:t>
            </w:r>
          </w:p>
        </w:tc>
        <w:tc>
          <w:tcPr>
            <w:tcW w:type="dxa" w:w="1080"/>
          </w:tcPr>
          <w:p>
            <w:r>
              <w:rPr>
                <w:rFonts w:ascii="Calibri" w:hAnsi="Calibri"/>
                <w:sz w:val="22"/>
              </w:rPr>
              <w:t>$850M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guidance</w:t>
            </w:r>
          </w:p>
        </w:tc>
      </w:tr>
      <w:tr>
        <w:tc>
          <w:tcPr>
            <w:tcW w:type="dxa" w:w="1080"/>
          </w:tcPr>
          <w:p>
            <w:r>
              <w:rPr>
                <w:rFonts w:ascii="Calibri" w:hAnsi="Calibri"/>
                <w:sz w:val="22"/>
              </w:rPr>
              <w:t>Non-GAAP EPS — FY27</w:t>
            </w:r>
          </w:p>
        </w:tc>
        <w:tc>
          <w:tcPr>
            <w:tcW w:type="dxa" w:w="1080"/>
          </w:tcPr>
          <w:p>
            <w:r>
              <w:rPr>
                <w:rFonts w:ascii="Calibri" w:hAnsi="Calibri"/>
                <w:sz w:val="22"/>
              </w:rPr>
              <w:t>$8.46</w:t>
            </w:r>
          </w:p>
        </w:tc>
        <w:tc>
          <w:tcPr>
            <w:tcW w:type="dxa" w:w="1080"/>
          </w:tcPr>
          <w:p>
            <w:r>
              <w:rPr>
                <w:rFonts w:ascii="Calibri" w:hAnsi="Calibri"/>
                <w:sz w:val="22"/>
              </w:rPr>
              <w:t>$8.52</w:t>
            </w:r>
          </w:p>
        </w:tc>
        <w:tc>
          <w:tcPr>
            <w:tcW w:type="dxa" w:w="1080"/>
          </w:tcPr>
          <w:p>
            <w:r>
              <w:rPr>
                <w:rFonts w:ascii="Calibri" w:hAnsi="Calibri"/>
                <w:sz w:val="22"/>
              </w:rPr>
              <w:t>+0.7%</w:t>
            </w:r>
          </w:p>
        </w:tc>
        <w:tc>
          <w:tcPr>
            <w:tcW w:type="dxa" w:w="1080"/>
          </w:tcPr>
          <w:p>
            <w:r>
              <w:rPr>
                <w:rFonts w:ascii="Calibri" w:hAnsi="Calibri"/>
                <w:sz w:val="22"/>
              </w:rPr>
              <w:t>No FY27 guidance provided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Q2 print, with virtually no revision on ARR or FCF and only minor EPS drift. The wide FY26 EPS guidance range ($6.65–$8.90) reflects duration-driven revenue variability, not operational uncertainty — consensus at $7.95 sits above the midpoint, implying the street expects Q3 and Q4 to be closer to the high end of the revenue range. The FY27 EPS estimate of $8.52 implies ~7% growth off FY26, which appears conservative relative to management's medium-term aspiration of double-digit ARR growth and the $950M normalized FCF baseline.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PTC has dramatically underperformed since Q2 earnings — down ~7% vs. SPY +1% and IGV +5% — driven almost entirely by multiple compression and sentiment, not estimate revisions. </w:t>
      </w:r>
      <w:r>
        <w:rPr>
          <w:rFonts w:ascii="Calibri" w:hAnsi="Calibri"/>
          <w:color w:val="525866"/>
          <w:sz w:val="22"/>
        </w:rPr>
        <w:t>The June 11 Oracle AI capex shock and July Russell index removal were the two most damaging discrete events, and the stock now trades at a meaningful discount to its post-Q2 level despite stable fundamentals.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PTC vs. IGV (Software ETF) vs. S&amp;P 500 — Indexed to 100 at Q2 FY26 Earnings (May 6, 2026). Source: Yahoo Finance.</w:t>
      </w:r>
    </w:p>
    <w:p>
      <w:pPr>
        <w:pStyle w:val="ListBullet"/>
        <w:ind w:left="360" w:hanging="360"/>
      </w:pPr>
      <w:r>
        <w:rPr>
          <w:rFonts w:ascii="Calibri" w:hAnsi="Calibri"/>
          <w:b/>
          <w:color w:val="525866"/>
          <w:sz w:val="22"/>
        </w:rPr>
        <w:t xml:space="preserve">May 6, 2026 (Day 0): </w:t>
      </w:r>
      <w:r>
        <w:rPr>
          <w:rFonts w:ascii="Calibri" w:hAnsi="Calibri"/>
          <w:color w:val="525866"/>
          <w:sz w:val="22"/>
        </w:rPr>
        <w:t>PTC reports Q2 FY26 — broad beat on ARR, revenue, FCF, and EPS; stock surges ~8% in after-hours to ~$147. Indexed base = 100.</w:t>
      </w:r>
    </w:p>
    <w:p>
      <w:pPr>
        <w:pStyle w:val="ListBullet"/>
        <w:ind w:left="360" w:hanging="360"/>
      </w:pPr>
      <w:r>
        <w:rPr>
          <w:rFonts w:ascii="Calibri" w:hAnsi="Calibri"/>
          <w:b/>
          <w:color w:val="525866"/>
          <w:sz w:val="22"/>
        </w:rPr>
        <w:t xml:space="preserve">May 19, 2026: </w:t>
      </w:r>
      <w:r>
        <w:rPr>
          <w:rFonts w:ascii="Calibri" w:hAnsi="Calibri"/>
          <w:color w:val="525866"/>
          <w:sz w:val="22"/>
        </w:rPr>
        <w:t>JP Morgan TMC Conference — CEO Barua and CFO DiRico reinforce deferred ARR visibility and Q4 step-up confidence; stock holds near $145 (indexed ~106).</w:t>
      </w:r>
    </w:p>
    <w:p>
      <w:pPr>
        <w:pStyle w:val="ListBullet"/>
        <w:ind w:left="360" w:hanging="360"/>
      </w:pPr>
      <w:r>
        <w:rPr>
          <w:rFonts w:ascii="Calibri" w:hAnsi="Calibri"/>
          <w:b/>
          <w:color w:val="525866"/>
          <w:sz w:val="22"/>
        </w:rPr>
        <w:t xml:space="preserve">June 9–10, 2026: </w:t>
      </w:r>
      <w:r>
        <w:rPr>
          <w:rFonts w:ascii="Calibri" w:hAnsi="Calibri"/>
          <w:color w:val="525866"/>
          <w:sz w:val="22"/>
        </w:rPr>
        <w:t>PTC NEXT Chicago — company unveils PTC Orbit, PTC Jetstream, new AI platform, 12 AI agents; stock near $137 (indexed ~100) as market digests product announcements.</w:t>
      </w:r>
    </w:p>
    <w:p>
      <w:pPr>
        <w:pStyle w:val="ListBullet"/>
        <w:ind w:left="360" w:hanging="360"/>
      </w:pPr>
      <w:r>
        <w:rPr>
          <w:rFonts w:ascii="Calibri" w:hAnsi="Calibri"/>
          <w:b/>
          <w:color w:val="525866"/>
          <w:sz w:val="22"/>
        </w:rPr>
        <w:t xml:space="preserve">June 11, 2026: </w:t>
      </w:r>
      <w:r>
        <w:rPr>
          <w:rFonts w:ascii="Calibri" w:hAnsi="Calibri"/>
          <w:color w:val="525866"/>
          <w:sz w:val="22"/>
        </w:rPr>
        <w:t>Oracle discloses 162% CapEx increase for AI data centers, triggering broad enterprise software selloff on AI spending fears; PTC drops ~12% in a single session to ~$114 (indexed ~83). This was the single largest drawdown event.</w:t>
      </w:r>
    </w:p>
    <w:p>
      <w:pPr>
        <w:pStyle w:val="ListBullet"/>
        <w:ind w:left="360" w:hanging="360"/>
      </w:pPr>
      <w:r>
        <w:rPr>
          <w:rFonts w:ascii="Calibri" w:hAnsi="Calibri"/>
          <w:b/>
          <w:color w:val="525866"/>
          <w:sz w:val="22"/>
        </w:rPr>
        <w:t xml:space="preserve">July 7, 2026: </w:t>
      </w:r>
      <w:r>
        <w:rPr>
          <w:rFonts w:ascii="Calibri" w:hAnsi="Calibri"/>
          <w:color w:val="525866"/>
          <w:sz w:val="22"/>
        </w:rPr>
        <w:t>PTC removed from Russell Growth indices; forced selling from passive funds compounds the decline; stock falls to ~$122 (indexed ~89).</w:t>
      </w:r>
    </w:p>
    <w:p>
      <w:pPr>
        <w:pStyle w:val="ListBullet"/>
        <w:ind w:left="360" w:hanging="360"/>
      </w:pPr>
      <w:r>
        <w:rPr>
          <w:rFonts w:ascii="Calibri" w:hAnsi="Calibri"/>
          <w:b/>
          <w:color w:val="525866"/>
          <w:sz w:val="22"/>
        </w:rPr>
        <w:t xml:space="preserve">July 22–23, 2026: </w:t>
      </w:r>
      <w:r>
        <w:rPr>
          <w:rFonts w:ascii="Calibri" w:hAnsi="Calibri"/>
          <w:color w:val="525866"/>
          <w:sz w:val="22"/>
        </w:rPr>
        <w:t>Stock hits trough near $113 (indexed ~83), approximately 42% below the 52-week high of $219.69 (July 31, 2025).</w:t>
      </w:r>
    </w:p>
    <w:p>
      <w:pPr>
        <w:pStyle w:val="ListBullet"/>
        <w:ind w:left="360" w:hanging="360"/>
      </w:pPr>
      <w:r>
        <w:rPr>
          <w:rFonts w:ascii="Calibri" w:hAnsi="Calibri"/>
          <w:b/>
          <w:color w:val="525866"/>
          <w:sz w:val="22"/>
        </w:rPr>
        <w:t xml:space="preserve">July 27–29, 2026: </w:t>
      </w:r>
      <w:r>
        <w:rPr>
          <w:rFonts w:ascii="Calibri" w:hAnsi="Calibri"/>
          <w:color w:val="525866"/>
          <w:sz w:val="22"/>
        </w:rPr>
        <w:t>Pre-earnings recovery to ~$125–$128 (indexed ~91–93) as investors position ahead of Q3 print; IGV at 105, SPY at 101.</w:t>
      </w:r>
    </w:p>
    <w:p>
      <w:r>
        <w:rPr>
          <w:rFonts w:ascii="Calibri" w:hAnsi="Calibri"/>
          <w:b/>
          <w:color w:val="525866"/>
          <w:sz w:val="22"/>
        </w:rPr>
        <w:t xml:space="preserve">Sector ETF used: </w:t>
      </w:r>
      <w:r>
        <w:rPr>
          <w:rFonts w:ascii="Calibri" w:hAnsi="Calibri"/>
          <w:color w:val="525866"/>
          <w:sz w:val="22"/>
        </w:rPr>
        <w:t>IGV (iShares Expanded Tech-Software Sector ETF) — appropriate for PTC's industrial software / PLM sub-sector. PTC's underperformance vs. IGV (-12 percentage points since Q2 earnings) reflects idiosyncratic multiple compression rather than sector-wide weakness; IGV has actually outperformed SPY over the same period, suggesting the software sector broadly recovered while PTC did not.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PTC NEXT Chicago product launch (June 9–10), which introduced two new organically built products and a new AI platform — the first major product innovation event in PTC's history. </w:t>
      </w:r>
      <w:r>
        <w:rPr>
          <w:rFonts w:ascii="Calibri" w:hAnsi="Calibri"/>
          <w:color w:val="525866"/>
          <w:sz w:val="22"/>
        </w:rPr>
        <w:t>The June 11 Oracle AI capex shock and July Russell index removal were the two most damaging stock events, but neither reflects a change in PTC's fundamental business trajectory.</w:t>
      </w:r>
    </w:p>
    <w:p>
      <w:pPr>
        <w:pStyle w:val="ListBullet"/>
        <w:ind w:left="360" w:hanging="360"/>
      </w:pPr>
      <w:r>
        <w:rPr>
          <w:rFonts w:ascii="Calibri" w:hAnsi="Calibri"/>
          <w:b/>
          <w:color w:val="525866"/>
          <w:sz w:val="22"/>
        </w:rPr>
        <w:t xml:space="preserve">June 9–10, 2026 — PTC NEXT Chicago Product Launch: </w:t>
      </w:r>
      <w:r>
        <w:rPr>
          <w:rFonts w:ascii="Calibri" w:hAnsi="Calibri"/>
          <w:color w:val="525866"/>
          <w:sz w:val="22"/>
        </w:rPr>
        <w:t xml:space="preserve">PTC unveiled PTC Orbit (AI-first cloud-native asset intelligence solution connecting PLM, ERP, CRM, IoT, EAM, FSM into a unified asset record), PTC Jetstream (cloud-native collaboration solution for product data sharing), a new AI platform, 12 AI agents, and 10 new integrations. This was PTC's first organically built product in decades and the company's inaugural product release conference. </w:t>
      </w:r>
      <w:r>
        <w:rPr>
          <w:rFonts w:ascii="Calibri" w:hAnsi="Calibri"/>
          <w:i/>
          <w:color w:val="525866"/>
          <w:sz w:val="22"/>
        </w:rPr>
        <w:t xml:space="preserve">Implication: </w:t>
      </w:r>
      <w:r>
        <w:rPr>
          <w:rFonts w:ascii="Calibri" w:hAnsi="Calibri"/>
          <w:i/>
          <w:color w:val="525866"/>
          <w:sz w:val="22"/>
        </w:rPr>
        <w:t>Demonstrates execution on the Intelligent Product Lifecycle vision; early commercial traction commentary on Q3 call will be closely watched.</w:t>
      </w:r>
    </w:p>
    <w:p>
      <w:pPr>
        <w:pStyle w:val="ListBullet"/>
        <w:ind w:left="360" w:hanging="360"/>
      </w:pPr>
      <w:r>
        <w:rPr>
          <w:rFonts w:ascii="Calibri" w:hAnsi="Calibri"/>
          <w:b/>
          <w:color w:val="525866"/>
          <w:sz w:val="22"/>
        </w:rPr>
        <w:t xml:space="preserve">June 11, 2026 — Oracle AI CapEx Shock / Broad Software Selloff: </w:t>
      </w:r>
      <w:r>
        <w:rPr>
          <w:rFonts w:ascii="Calibri" w:hAnsi="Calibri"/>
          <w:color w:val="525866"/>
          <w:sz w:val="22"/>
        </w:rPr>
        <w:t xml:space="preserve">Oracle disclosed plans to increase CapEx 162% to ~$55.7B for AI data center buildout, triggering fears that enterprise software companies would face margin compression from AI investment requirements. PTC dropped ~12% in a single session. </w:t>
      </w:r>
      <w:r>
        <w:rPr>
          <w:rFonts w:ascii="Calibri" w:hAnsi="Calibri"/>
          <w:i/>
          <w:color w:val="525866"/>
          <w:sz w:val="22"/>
        </w:rPr>
        <w:t xml:space="preserve">Implication: </w:t>
      </w:r>
      <w:r>
        <w:rPr>
          <w:rFonts w:ascii="Calibri" w:hAnsi="Calibri"/>
          <w:i/>
          <w:color w:val="525866"/>
          <w:sz w:val="22"/>
        </w:rPr>
        <w:t>Sentiment-driven, not fundamental; PTC's AI strategy is embedded-software (not infrastructure), but the market indiscriminately sold software names.</w:t>
      </w:r>
    </w:p>
    <w:p>
      <w:pPr>
        <w:pStyle w:val="ListBullet"/>
        <w:ind w:left="360" w:hanging="360"/>
      </w:pPr>
      <w:r>
        <w:rPr>
          <w:rFonts w:ascii="Calibri" w:hAnsi="Calibri"/>
          <w:b/>
          <w:color w:val="525866"/>
          <w:sz w:val="22"/>
        </w:rPr>
        <w:t xml:space="preserve">June 18, 2026 — BNP Paribas Exane Initiates Coverage: </w:t>
      </w:r>
      <w:r>
        <w:rPr>
          <w:rFonts w:ascii="Calibri" w:hAnsi="Calibri"/>
          <w:color w:val="525866"/>
          <w:sz w:val="22"/>
        </w:rPr>
        <w:t>New sell-side coverage initiated, adding to the analyst community covering PTC. Implication: Incremental institutional awareness at a time when the stock is near multi-year lows.</w:t>
      </w:r>
    </w:p>
    <w:p>
      <w:pPr>
        <w:pStyle w:val="ListBullet"/>
        <w:ind w:left="360" w:hanging="360"/>
      </w:pPr>
      <w:r>
        <w:rPr>
          <w:rFonts w:ascii="Calibri" w:hAnsi="Calibri"/>
          <w:b/>
          <w:color w:val="525866"/>
          <w:sz w:val="22"/>
        </w:rPr>
        <w:t xml:space="preserve">June 24, 2026 — PTC Orbit Launch Announcement: </w:t>
      </w:r>
      <w:r>
        <w:rPr>
          <w:rFonts w:ascii="Calibri" w:hAnsi="Calibri"/>
          <w:color w:val="525866"/>
          <w:sz w:val="22"/>
        </w:rPr>
        <w:t xml:space="preserve">Formal press release for PTC Orbit, the AI-powered as-maintained system of intelligence for manufacturers. Connects PLM, ERP, CRM, IoT, EAM, and FSM systems into a single unified asset record. </w:t>
      </w:r>
      <w:r>
        <w:rPr>
          <w:rFonts w:ascii="Calibri" w:hAnsi="Calibri"/>
          <w:i/>
          <w:color w:val="525866"/>
          <w:sz w:val="22"/>
        </w:rPr>
        <w:t xml:space="preserve">Implication: </w:t>
      </w:r>
      <w:r>
        <w:rPr>
          <w:rFonts w:ascii="Calibri" w:hAnsi="Calibri"/>
          <w:i/>
          <w:color w:val="525866"/>
          <w:sz w:val="22"/>
        </w:rPr>
        <w:t>Extends PTC's TAM into the asset operations space; positions PTC to compete with ServiceMax and field service management incumbents.</w:t>
      </w:r>
    </w:p>
    <w:p>
      <w:pPr>
        <w:pStyle w:val="ListBullet"/>
        <w:ind w:left="360" w:hanging="360"/>
      </w:pPr>
      <w:r>
        <w:rPr>
          <w:rFonts w:ascii="Calibri" w:hAnsi="Calibri"/>
          <w:b/>
          <w:color w:val="525866"/>
          <w:sz w:val="22"/>
        </w:rPr>
        <w:t xml:space="preserve">June 30, 2026 — Creo 13 and Creo+ 13.3 Launch: </w:t>
      </w:r>
      <w:r>
        <w:rPr>
          <w:rFonts w:ascii="Calibri" w:hAnsi="Calibri"/>
          <w:color w:val="525866"/>
          <w:sz w:val="22"/>
        </w:rPr>
        <w:t xml:space="preserve">PTC launched the latest versions of its CAD software featuring the new Creo AI Assistant and 100+ enhancements in model-based engineering, simulation-driven design, and manufacturing. </w:t>
      </w:r>
      <w:r>
        <w:rPr>
          <w:rFonts w:ascii="Calibri" w:hAnsi="Calibri"/>
          <w:i/>
          <w:color w:val="525866"/>
          <w:sz w:val="22"/>
        </w:rPr>
        <w:t xml:space="preserve">Implication: </w:t>
      </w:r>
      <w:r>
        <w:rPr>
          <w:rFonts w:ascii="Calibri" w:hAnsi="Calibri"/>
          <w:i/>
          <w:color w:val="525866"/>
          <w:sz w:val="22"/>
        </w:rPr>
        <w:t>Accelerating AI release cadence (management guided doubling of AI releases in 2026 vs. 2025); supports SaaS conversion narrative for Creo+.</w:t>
      </w:r>
    </w:p>
    <w:p>
      <w:pPr>
        <w:pStyle w:val="ListBullet"/>
        <w:ind w:left="360" w:hanging="360"/>
      </w:pPr>
      <w:r>
        <w:rPr>
          <w:rFonts w:ascii="Calibri" w:hAnsi="Calibri"/>
          <w:b/>
          <w:color w:val="525866"/>
          <w:sz w:val="22"/>
        </w:rPr>
        <w:t xml:space="preserve">July 2, 2026 — PTC Named Official Engine Design Software Partner of Toyota Racing Development: </w:t>
      </w:r>
      <w:r>
        <w:rPr>
          <w:rFonts w:ascii="Calibri" w:hAnsi="Calibri"/>
          <w:color w:val="525866"/>
          <w:sz w:val="22"/>
        </w:rPr>
        <w:t>Partnership win in the automotive/motorsport vertical. Implication: Validates Creo's competitive positioning in high-performance engineering applications.</w:t>
      </w:r>
    </w:p>
    <w:p>
      <w:pPr>
        <w:pStyle w:val="ListBullet"/>
        <w:ind w:left="360" w:hanging="360"/>
      </w:pPr>
      <w:r>
        <w:rPr>
          <w:rFonts w:ascii="Calibri" w:hAnsi="Calibri"/>
          <w:b/>
          <w:color w:val="525866"/>
          <w:sz w:val="22"/>
        </w:rPr>
        <w:t xml:space="preserve">July 7, 2026 — Russell Growth Index Removal: </w:t>
      </w:r>
      <w:r>
        <w:rPr>
          <w:rFonts w:ascii="Calibri" w:hAnsi="Calibri"/>
          <w:color w:val="525866"/>
          <w:sz w:val="22"/>
        </w:rPr>
        <w:t xml:space="preserve">PTC removed from major Russell Growth indices, triggering passive fund selling. Stock fell to ~$122. </w:t>
      </w:r>
      <w:r>
        <w:rPr>
          <w:rFonts w:ascii="Calibri" w:hAnsi="Calibri"/>
          <w:i/>
          <w:color w:val="525866"/>
          <w:sz w:val="22"/>
        </w:rPr>
        <w:t xml:space="preserve">Implication: </w:t>
      </w:r>
      <w:r>
        <w:rPr>
          <w:rFonts w:ascii="Calibri" w:hAnsi="Calibri"/>
          <w:i/>
          <w:color w:val="525866"/>
          <w:sz w:val="22"/>
        </w:rPr>
        <w:t>Technical/mechanical selling pressure; creates potential re-entry opportunity for active managers if fundamentals stabilize.</w:t>
      </w:r>
    </w:p>
    <w:p>
      <w:pPr>
        <w:pStyle w:val="ListBullet"/>
        <w:ind w:left="360" w:hanging="360"/>
      </w:pPr>
      <w:r>
        <w:rPr>
          <w:rFonts w:ascii="Calibri" w:hAnsi="Calibri"/>
          <w:b/>
          <w:color w:val="525866"/>
          <w:sz w:val="22"/>
        </w:rPr>
        <w:t xml:space="preserve">May 2026 — U.S. Army Windchill Designation: </w:t>
      </w:r>
      <w:r>
        <w:rPr>
          <w:rFonts w:ascii="Calibri" w:hAnsi="Calibri"/>
          <w:color w:val="525866"/>
          <w:sz w:val="22"/>
        </w:rPr>
        <w:t xml:space="preserve">The U.S. Army selected Windchill as its official enterprise PLM standard across the organization. Management described this as a "calling card" across other government agencies. </w:t>
      </w:r>
      <w:r>
        <w:rPr>
          <w:rFonts w:ascii="Calibri" w:hAnsi="Calibri"/>
          <w:i/>
          <w:color w:val="525866"/>
          <w:sz w:val="22"/>
        </w:rPr>
        <w:t xml:space="preserve">Implication: </w:t>
      </w:r>
      <w:r>
        <w:rPr>
          <w:rFonts w:ascii="Calibri" w:hAnsi="Calibri"/>
          <w:i/>
          <w:color w:val="525866"/>
          <w:sz w:val="22"/>
        </w:rPr>
        <w:t>Significant federal/defense vertical win; could drive multi-year ARR expansion across DoD and allied agencies.</w:t>
      </w:r>
    </w:p>
    <w:p>
      <w:pPr>
        <w:pStyle w:val="ListBullet"/>
        <w:ind w:left="360" w:hanging="360"/>
      </w:pPr>
      <w:r>
        <w:rPr>
          <w:rFonts w:ascii="Calibri" w:hAnsi="Calibri"/>
          <w:b/>
          <w:color w:val="525866"/>
          <w:sz w:val="22"/>
        </w:rPr>
        <w:t xml:space="preserve">May 6, 2026 — New $2B Share Repurchase Authorization: </w:t>
      </w:r>
      <w:r>
        <w:rPr>
          <w:rFonts w:ascii="Calibri" w:hAnsi="Calibri"/>
          <w:color w:val="525866"/>
          <w:sz w:val="22"/>
        </w:rPr>
        <w:t xml:space="preserve">Board authorized a new $2B buyback program effective October 1, 2026 through end of FY2028, replacing the current authorization. Q3 FY26 repurchase target: ~$250M. </w:t>
      </w:r>
      <w:r>
        <w:rPr>
          <w:rFonts w:ascii="Calibri" w:hAnsi="Calibri"/>
          <w:i/>
          <w:color w:val="525866"/>
          <w:sz w:val="22"/>
        </w:rPr>
        <w:t xml:space="preserve">Implication: </w:t>
      </w:r>
      <w:r>
        <w:rPr>
          <w:rFonts w:ascii="Calibri" w:hAnsi="Calibri"/>
          <w:i/>
          <w:color w:val="525866"/>
          <w:sz w:val="22"/>
        </w:rPr>
        <w:t>Strong capital return signal; at current prices (~$125), the $2B program represents ~10% of market cap.</w:t>
      </w:r>
    </w:p>
    <w:p>
      <w:r>
        <w:br w:type="page"/>
      </w:r>
    </w:p>
    <w:p>
      <w:pPr>
        <w:pStyle w:val="Heading2"/>
      </w:pPr>
      <w:r>
        <w:rPr>
          <w:rFonts w:ascii="Calibri" w:hAnsi="Calibri"/>
          <w:b/>
          <w:color w:val="3B4259"/>
          <w:sz w:val="28"/>
        </w:rPr>
        <w:t>7. Peer Commentaries — Read-Through for Q3 FY2026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PTC's Q3 setup — Cadence's blowout Q2 2026 results (reported July 27, 2026) confirm that design activity and AI-driven software demand are accelerating, while Autodesk's Q1 FY27 beat and conference commentary validate that industrial software customers are investing in digital transformation and AI-enabled workflows. </w:t>
      </w:r>
      <w:r>
        <w:rPr>
          <w:rFonts w:ascii="Calibri" w:hAnsi="Calibri"/>
          <w:color w:val="525866"/>
          <w:sz w:val="22"/>
        </w:rPr>
        <w:t>Synopsys's Mizuho conference commentary (June 9) adds nuance: AI infrastructure demand is strong but non-AI semiconductor end markets have not yet turned, which is relevant for PTC's electronics and high-tech vertical.</w:t>
      </w:r>
    </w:p>
    <w:p>
      <w:r>
        <w:rPr>
          <w:rFonts w:ascii="Calibri" w:hAnsi="Calibri"/>
          <w:b/>
          <w:color w:val="525866"/>
          <w:sz w:val="22"/>
        </w:rPr>
        <w:t xml:space="preserve">Note on peer selection: </w:t>
      </w:r>
      <w:r>
        <w:rPr>
          <w:rFonts w:ascii="Calibri" w:hAnsi="Calibri"/>
          <w:color w:val="525866"/>
          <w:sz w:val="22"/>
        </w:rPr>
        <w:t>The peers below were selected for their relevance to PTC's end markets (industrial software, CAD/PLM, AI in design, manufacturing digital transformation) and for commentary that speaks to the current reporting quarter (Q3 FY2026, calendar Q2 2026) or the forward demand environment. Commentary from prior-quarter earnings calls about prior-quarter results has been excluded per the user's instruction.</w:t>
      </w:r>
    </w:p>
    <w:p>
      <w:pPr>
        <w:pStyle w:val="Heading3"/>
      </w:pPr>
      <w:r>
        <w:rPr>
          <w:rFonts w:ascii="Calibri" w:hAnsi="Calibri"/>
          <w:b/>
          <w:color w:val="3B4259"/>
          <w:sz w:val="24"/>
        </w:rPr>
        <w:t>Cadence Design Systems (CDNS) — Q2 2026 Earnings (July 27, 2026) + Bank of America Conference (June 3) + Nasdaq/Jefferies Conference (June 9)</w:t>
      </w:r>
    </w:p>
    <w:p>
      <w:r>
        <w:rPr>
          <w:rFonts w:ascii="Calibri" w:hAnsi="Calibri"/>
          <w:b/>
          <w:color w:val="525866"/>
          <w:sz w:val="22"/>
        </w:rPr>
        <w:t xml:space="preserve">Relevance to PTC: </w:t>
      </w:r>
      <w:r>
        <w:rPr>
          <w:rFonts w:ascii="Calibri" w:hAnsi="Calibri"/>
          <w:color w:val="525866"/>
          <w:sz w:val="22"/>
        </w:rPr>
        <w:t>Cadence serves the semiconductor and electronics design ecosystem — PTC's fastest-growing vertical (electronics and high-tech / data center infrastructure). Cadence's demand signals are a leading indicator for PTC's electronics and high-tech customer spending.</w:t>
      </w:r>
    </w:p>
    <w:p>
      <w:pPr>
        <w:pStyle w:val="ListBullet"/>
        <w:ind w:left="360" w:hanging="360"/>
      </w:pPr>
      <w:r>
        <w:rPr>
          <w:rFonts w:ascii="Calibri" w:hAnsi="Calibri"/>
          <w:b/>
          <w:color w:val="525866"/>
          <w:sz w:val="22"/>
        </w:rPr>
        <w:t xml:space="preserve">Blowout Q2 2026 results with 24% YoY revenue growth and record $8.1B backlog: </w:t>
      </w:r>
      <w:r>
        <w:rPr>
          <w:rFonts w:ascii="Calibri" w:hAnsi="Calibri"/>
          <w:color w:val="525866"/>
          <w:sz w:val="22"/>
        </w:rPr>
        <w:t xml:space="preserve">Cadence raised full-year 2026 guidance to 19% revenue growth with higher profitability. CEO Anirudh Devgan described the macro environment as "much better than a year ago" and "probably the best it has been." </w:t>
      </w:r>
      <w:r>
        <w:rPr>
          <w:rFonts w:ascii="Calibri" w:hAnsi="Calibri"/>
          <w:i/>
          <w:color w:val="525866"/>
          <w:sz w:val="22"/>
        </w:rPr>
        <w:t xml:space="preserve">PTC Read-Through: </w:t>
      </w:r>
      <w:r>
        <w:rPr>
          <w:rFonts w:ascii="Calibri" w:hAnsi="Calibri"/>
          <w:i/>
          <w:color w:val="525866"/>
          <w:sz w:val="22"/>
        </w:rPr>
        <w:t>Cadence's electronics and semiconductor customers are investing aggressively — directly corroborating PTC management's Q2 commentary that electronics and high-tech is PTC's strongest vertical, driven by data center infrastructure build-out. Strong Cadence results suggest PTC's electronics/high-tech ARR pipeline remains healthy into Q3.</w:t>
      </w:r>
    </w:p>
    <w:p>
      <w:pPr>
        <w:pStyle w:val="ListBullet"/>
        <w:ind w:left="360" w:hanging="360"/>
      </w:pPr>
      <w:r>
        <w:rPr>
          <w:rFonts w:ascii="Calibri" w:hAnsi="Calibri"/>
          <w:b/>
          <w:color w:val="525866"/>
          <w:sz w:val="22"/>
        </w:rPr>
        <w:t xml:space="preserve">"Design activity is growing as AI drives exponential design complexity": </w:t>
      </w:r>
      <w:r>
        <w:rPr>
          <w:rFonts w:ascii="Calibri" w:hAnsi="Calibri"/>
          <w:color w:val="525866"/>
          <w:sz w:val="22"/>
        </w:rPr>
        <w:t xml:space="preserve">Cadence noted that hyperscalers' commitment to silicon is "much higher than 12 months ago" and that startup activity has picked up significantly in AI, networking, and CPU design. </w:t>
      </w:r>
      <w:r>
        <w:rPr>
          <w:rFonts w:ascii="Calibri" w:hAnsi="Calibri"/>
          <w:i/>
          <w:color w:val="525866"/>
          <w:sz w:val="22"/>
        </w:rPr>
        <w:t xml:space="preserve">PTC Read-Through: </w:t>
      </w:r>
      <w:r>
        <w:rPr>
          <w:rFonts w:ascii="Calibri" w:hAnsi="Calibri"/>
          <w:i/>
          <w:color w:val="525866"/>
          <w:sz w:val="22"/>
        </w:rPr>
        <w:t>More chip designs = more demand for PTC's Windchill (PLM for electronics), Codebeamer (ALM for software-defined products), and Onshape (cloud CAD). Cadence's record hardware quarter (Palladium Z3) signals customers are running more verification workloads, which requires more product data management — PTC's core value proposition.</w:t>
      </w:r>
    </w:p>
    <w:p>
      <w:pPr>
        <w:pStyle w:val="ListBullet"/>
        <w:ind w:left="360" w:hanging="360"/>
      </w:pPr>
      <w:r>
        <w:rPr>
          <w:rFonts w:ascii="Calibri" w:hAnsi="Calibri"/>
          <w:b/>
          <w:color w:val="525866"/>
          <w:sz w:val="22"/>
        </w:rPr>
        <w:t xml:space="preserve">Agentic AI as a "demand accelerator" and TAM expansion: </w:t>
      </w:r>
      <w:r>
        <w:rPr>
          <w:rFonts w:ascii="Calibri" w:hAnsi="Calibri"/>
          <w:color w:val="525866"/>
          <w:sz w:val="22"/>
        </w:rPr>
        <w:t xml:space="preserve">Cadence described agentic AI as expanding the design exploration space and calling underlying tools more often, creating a "durable tailwind." CEO Devgan noted customers are willing to spend 50% of human engineer costs on AI tokens, implying EDA's share of R&amp;D budgets could expand from 11–12% to ~33%. </w:t>
      </w:r>
      <w:r>
        <w:rPr>
          <w:rFonts w:ascii="Calibri" w:hAnsi="Calibri"/>
          <w:i/>
          <w:color w:val="525866"/>
          <w:sz w:val="22"/>
        </w:rPr>
        <w:t xml:space="preserve">PTC Read-Through: </w:t>
      </w:r>
      <w:r>
        <w:rPr>
          <w:rFonts w:ascii="Calibri" w:hAnsi="Calibri"/>
          <w:i/>
          <w:color w:val="525866"/>
          <w:sz w:val="22"/>
        </w:rPr>
        <w:t>Directly validates PTC's thesis that AI is driving modernization demand — customers need a strong product data foundation (PTC's core) to enable AI at scale. Cadence's monetization success with AI agents (subscription + consumption model) provides a template for PTC's own AI SKU expansion (e.g., the 7-figure ServiceMax AI SKU cited on the Q2 call).</w:t>
      </w:r>
    </w:p>
    <w:p>
      <w:pPr>
        <w:pStyle w:val="ListBullet"/>
        <w:ind w:left="360" w:hanging="360"/>
      </w:pPr>
      <w:r>
        <w:rPr>
          <w:rFonts w:ascii="Calibri" w:hAnsi="Calibri"/>
          <w:b/>
          <w:color w:val="525866"/>
          <w:sz w:val="22"/>
        </w:rPr>
        <w:t xml:space="preserve">All product groups delivered double-digit YoY growth; IP business grew 40%+: </w:t>
      </w:r>
      <w:r>
        <w:rPr>
          <w:rFonts w:ascii="Calibri" w:hAnsi="Calibri"/>
          <w:color w:val="525866"/>
          <w:sz w:val="22"/>
        </w:rPr>
        <w:t xml:space="preserve">Cadence's IP business growth was described as "mostly organic" and driven by AI/HPC applications including PCIe, UCIe, HBM, and LP GDDR6. </w:t>
      </w:r>
      <w:r>
        <w:rPr>
          <w:rFonts w:ascii="Calibri" w:hAnsi="Calibri"/>
          <w:i/>
          <w:color w:val="525866"/>
          <w:sz w:val="22"/>
        </w:rPr>
        <w:t xml:space="preserve">PTC Read-Through: </w:t>
      </w:r>
      <w:r>
        <w:rPr>
          <w:rFonts w:ascii="Calibri" w:hAnsi="Calibri"/>
          <w:i/>
          <w:color w:val="525866"/>
          <w:sz w:val="22"/>
        </w:rPr>
        <w:t>The chiplet/3D-IC architecture trend driving Cadence's IP growth also drives demand for PTC's Windchill and Codebeamer — complex multi-chip systems require more sophisticated PLM and ALM to manage product data across the design lifecycle.</w:t>
      </w:r>
    </w:p>
    <w:p>
      <w:pPr>
        <w:pStyle w:val="ListBullet"/>
        <w:ind w:left="360" w:hanging="360"/>
      </w:pPr>
      <w:r>
        <w:rPr>
          <w:rFonts w:ascii="Calibri" w:hAnsi="Calibri"/>
          <w:b/>
          <w:color w:val="525866"/>
          <w:sz w:val="22"/>
        </w:rPr>
        <w:t xml:space="preserve">Physical AI and robotics as the next wave: </w:t>
      </w:r>
      <w:r>
        <w:rPr>
          <w:rFonts w:ascii="Calibri" w:hAnsi="Calibri"/>
          <w:color w:val="525866"/>
          <w:sz w:val="22"/>
        </w:rPr>
        <w:t xml:space="preserve">Cadence highlighted physical AI (robotics, autonomous vehicles, drones) as a multi-trillion-dollar opportunity with design activity already underway. CEO Devgan noted Onshape (PTC's cloud CAD) is gaining traction in robotics and physical AI. </w:t>
      </w:r>
      <w:r>
        <w:rPr>
          <w:rFonts w:ascii="Calibri" w:hAnsi="Calibri"/>
          <w:i/>
          <w:color w:val="525866"/>
          <w:sz w:val="22"/>
        </w:rPr>
        <w:t xml:space="preserve">PTC Read-Through: </w:t>
      </w:r>
      <w:r>
        <w:rPr>
          <w:rFonts w:ascii="Calibri" w:hAnsi="Calibri"/>
          <w:i/>
          <w:color w:val="525866"/>
          <w:sz w:val="22"/>
        </w:rPr>
        <w:t>Directly corroborates PTC management's Q2 commentary that Onshape is "kicking butt in the robotics and automation space as well as in the physical AI space." Cadence's physical AI commentary validates PTC's vertical positioning.</w:t>
      </w:r>
    </w:p>
    <w:p>
      <w:pPr>
        <w:pStyle w:val="Heading3"/>
      </w:pPr>
      <w:r>
        <w:rPr>
          <w:rFonts w:ascii="Calibri" w:hAnsi="Calibri"/>
          <w:b/>
          <w:color w:val="3B4259"/>
          <w:sz w:val="24"/>
        </w:rPr>
        <w:t>Autodesk (ADSK) — Q1 FY27 Earnings (May 28, 2026) + Bank of America Conference (June 3) + Baird Conference (June 4)</w:t>
      </w:r>
    </w:p>
    <w:p>
      <w:r>
        <w:rPr>
          <w:rFonts w:ascii="Calibri" w:hAnsi="Calibri"/>
          <w:b/>
          <w:color w:val="525866"/>
          <w:sz w:val="22"/>
        </w:rPr>
        <w:t xml:space="preserve">Relevance to PTC: </w:t>
      </w:r>
      <w:r>
        <w:rPr>
          <w:rFonts w:ascii="Calibri" w:hAnsi="Calibri"/>
          <w:color w:val="525866"/>
          <w:sz w:val="22"/>
        </w:rPr>
        <w:t>Autodesk is PTC's closest public peer in industrial/manufacturing software (CAD, PLM, design workflows). ADSK's demand signals, go-to-market commentary, and AI monetization narrative are the most direct read-through for PTC's CAD and PLM businesses.</w:t>
      </w:r>
    </w:p>
    <w:p>
      <w:pPr>
        <w:pStyle w:val="ListBullet"/>
        <w:ind w:left="360" w:hanging="360"/>
      </w:pPr>
      <w:r>
        <w:rPr>
          <w:rFonts w:ascii="Calibri" w:hAnsi="Calibri"/>
          <w:b/>
          <w:color w:val="525866"/>
          <w:sz w:val="22"/>
        </w:rPr>
        <w:t xml:space="preserve">Strong Q1 FY27 results with revenue and EPS above the high end of guidance: </w:t>
      </w:r>
      <w:r>
        <w:rPr>
          <w:rFonts w:ascii="Calibri" w:hAnsi="Calibri"/>
          <w:color w:val="525866"/>
          <w:sz w:val="22"/>
        </w:rPr>
        <w:t xml:space="preserve">Autodesk raised full-year FY27 billings guidance to $8.505–$8.58B and revenue to $8.155–$8.215B. Billings and free cash flow beat Street expectations by $150M+ each. Renewal rates were described as "strong." </w:t>
      </w:r>
      <w:r>
        <w:rPr>
          <w:rFonts w:ascii="Calibri" w:hAnsi="Calibri"/>
          <w:i/>
          <w:color w:val="525866"/>
          <w:sz w:val="22"/>
        </w:rPr>
        <w:t xml:space="preserve">PTC Read-Through: </w:t>
      </w:r>
      <w:r>
        <w:rPr>
          <w:rFonts w:ascii="Calibri" w:hAnsi="Calibri"/>
          <w:i/>
          <w:color w:val="525866"/>
          <w:sz w:val="22"/>
        </w:rPr>
        <w:t>Autodesk's strong renewal performance validates the broader industrial software renewal environment — a positive signal for PTC's own renewal rates, which management has cited as a key go-to-market transformation metric. Strong ADSK billings suggest enterprise software budgets for CAD/PLM/design tools remain healthy.</w:t>
      </w:r>
    </w:p>
    <w:p>
      <w:pPr>
        <w:pStyle w:val="ListBullet"/>
        <w:ind w:left="360" w:hanging="360"/>
      </w:pPr>
      <w:r>
        <w:rPr>
          <w:rFonts w:ascii="Calibri" w:hAnsi="Calibri"/>
          <w:b/>
          <w:color w:val="525866"/>
          <w:sz w:val="22"/>
        </w:rPr>
        <w:t xml:space="preserve">Manufacturing customers demanding convergence and digital transformation: </w:t>
      </w:r>
      <w:r>
        <w:rPr>
          <w:rFonts w:ascii="Calibri" w:hAnsi="Calibri"/>
          <w:color w:val="525866"/>
          <w:sz w:val="22"/>
        </w:rPr>
        <w:t xml:space="preserve">Autodesk cited multiple manufacturing enterprise agreement renewals and expansions, including a leading U.S. automotive manufacturer standardizing on Autodesk solutions across 14 factories and a German industrial conglomerate (Loh Services) expanding to connect CAD, PDM, and enterprise systems. </w:t>
      </w:r>
      <w:r>
        <w:rPr>
          <w:rFonts w:ascii="Calibri" w:hAnsi="Calibri"/>
          <w:i/>
          <w:color w:val="525866"/>
          <w:sz w:val="22"/>
        </w:rPr>
        <w:t xml:space="preserve">PTC Read-Through: </w:t>
      </w:r>
      <w:r>
        <w:rPr>
          <w:rFonts w:ascii="Calibri" w:hAnsi="Calibri"/>
          <w:i/>
          <w:color w:val="525866"/>
          <w:sz w:val="22"/>
        </w:rPr>
        <w:t>Manufacturing customers are actively investing in connecting design and enterprise systems — exactly the modernization wave PTC is riding with Windchill, Codebeamer, and Creo. The automotive sector's "factory of the future" investments are a direct tailwind for PTC's PLM and ALM products.</w:t>
      </w:r>
    </w:p>
    <w:p>
      <w:pPr>
        <w:pStyle w:val="ListBullet"/>
        <w:ind w:left="360" w:hanging="360"/>
      </w:pPr>
      <w:r>
        <w:rPr>
          <w:rFonts w:ascii="Calibri" w:hAnsi="Calibri"/>
          <w:b/>
          <w:color w:val="525866"/>
          <w:sz w:val="22"/>
        </w:rPr>
        <w:t xml:space="preserve">AI strategy centered on 3D foundation models and deterministic validation: </w:t>
      </w:r>
      <w:r>
        <w:rPr>
          <w:rFonts w:ascii="Calibri" w:hAnsi="Calibri"/>
          <w:color w:val="525866"/>
          <w:sz w:val="22"/>
        </w:rPr>
        <w:t xml:space="preserve">Autodesk described its AI competitive advantage as combining probabilistic AI generation with deterministic engineering validation — "AI can generate and our engines can validate." The company emphasized that frontier models lack the context for complex design (buildability, manufacturability, constructability). </w:t>
      </w:r>
      <w:r>
        <w:rPr>
          <w:rFonts w:ascii="Calibri" w:hAnsi="Calibri"/>
          <w:i/>
          <w:color w:val="525866"/>
          <w:sz w:val="22"/>
        </w:rPr>
        <w:t xml:space="preserve">PTC Read-Through: </w:t>
      </w:r>
      <w:r>
        <w:rPr>
          <w:rFonts w:ascii="Calibri" w:hAnsi="Calibri"/>
          <w:i/>
          <w:color w:val="525866"/>
          <w:sz w:val="22"/>
        </w:rPr>
        <w:t>Autodesk's AI framing is nearly identical to PTC's — both companies argue that domain-specific, physics-grounded AI embedded in systems of record is superior to general-purpose LLMs for engineering workflows. This validates PTC's AI positioning and suggests the market is converging on this thesis, which could re-rate PTC's AI narrative.</w:t>
      </w:r>
    </w:p>
    <w:p>
      <w:pPr>
        <w:pStyle w:val="ListBullet"/>
        <w:ind w:left="360" w:hanging="360"/>
      </w:pPr>
      <w:r>
        <w:rPr>
          <w:rFonts w:ascii="Calibri" w:hAnsi="Calibri"/>
          <w:b/>
          <w:color w:val="525866"/>
          <w:sz w:val="22"/>
        </w:rPr>
        <w:t xml:space="preserve">Sales reorganization creating near-term disruption but renewals holding: </w:t>
      </w:r>
      <w:r>
        <w:rPr>
          <w:rFonts w:ascii="Calibri" w:hAnsi="Calibri"/>
          <w:color w:val="525866"/>
          <w:sz w:val="22"/>
        </w:rPr>
        <w:t xml:space="preserve">Autodesk's go-to-market restructuring (shifting from 2-tier distribution to direct) created expected disruption in new subscription growth but renewals remained strong. Management described the disruption as "well within expectations." </w:t>
      </w:r>
      <w:r>
        <w:rPr>
          <w:rFonts w:ascii="Calibri" w:hAnsi="Calibri"/>
          <w:i/>
          <w:color w:val="525866"/>
          <w:sz w:val="22"/>
        </w:rPr>
        <w:t xml:space="preserve">PTC Read-Through: </w:t>
      </w:r>
      <w:r>
        <w:rPr>
          <w:rFonts w:ascii="Calibri" w:hAnsi="Calibri"/>
          <w:i/>
          <w:color w:val="525866"/>
          <w:sz w:val="22"/>
        </w:rPr>
        <w:t>PTC is approximately 16 months into its own go-to-market transformation. Autodesk's experience — disruption in new business, resilience in renewals — mirrors PTC's trajectory and suggests PTC's transformation is following a normal pattern. The fact that ADSK's disruption is "within expectations" is reassuring for PTC's own execution.</w:t>
      </w:r>
    </w:p>
    <w:p>
      <w:pPr>
        <w:pStyle w:val="ListBullet"/>
        <w:ind w:left="360" w:hanging="360"/>
      </w:pPr>
      <w:r>
        <w:rPr>
          <w:rFonts w:ascii="Calibri" w:hAnsi="Calibri"/>
          <w:b/>
          <w:color w:val="525866"/>
          <w:sz w:val="22"/>
        </w:rPr>
        <w:t xml:space="preserve">Data center build-out driving construction and manufacturing software demand: </w:t>
      </w:r>
      <w:r>
        <w:rPr>
          <w:rFonts w:ascii="Calibri" w:hAnsi="Calibri"/>
          <w:color w:val="525866"/>
          <w:sz w:val="22"/>
        </w:rPr>
        <w:t xml:space="preserve">Autodesk noted "data centers are on fire" with 8–9 months of construction backlog and strong demand from healthcare and infrastructure. The company described its business as "capacity constrained" in construction. </w:t>
      </w:r>
      <w:r>
        <w:rPr>
          <w:rFonts w:ascii="Calibri" w:hAnsi="Calibri"/>
          <w:i/>
          <w:color w:val="525866"/>
          <w:sz w:val="22"/>
        </w:rPr>
        <w:t xml:space="preserve">PTC Read-Through: </w:t>
      </w:r>
      <w:r>
        <w:rPr>
          <w:rFonts w:ascii="Calibri" w:hAnsi="Calibri"/>
          <w:i/>
          <w:color w:val="525866"/>
          <w:sz w:val="22"/>
        </w:rPr>
        <w:t>Directly corroborates PTC's Q2 commentary that electronics and high-tech customers (data center component manufacturers) are PTC's strongest vertical. The data center build-out is a multi-year tailwind for both companies.</w:t>
      </w:r>
    </w:p>
    <w:p>
      <w:pPr>
        <w:pStyle w:val="Heading3"/>
      </w:pPr>
      <w:r>
        <w:rPr>
          <w:rFonts w:ascii="Calibri" w:hAnsi="Calibri"/>
          <w:b/>
          <w:color w:val="3B4259"/>
          <w:sz w:val="24"/>
        </w:rPr>
        <w:t>Synopsys (SNPS) — Mizuho Technology Conference (June 9, 2026)</w:t>
      </w:r>
    </w:p>
    <w:p>
      <w:r>
        <w:rPr>
          <w:rFonts w:ascii="Calibri" w:hAnsi="Calibri"/>
          <w:b/>
          <w:color w:val="525866"/>
          <w:sz w:val="22"/>
        </w:rPr>
        <w:t xml:space="preserve">Relevance to PTC: </w:t>
      </w:r>
      <w:r>
        <w:rPr>
          <w:rFonts w:ascii="Calibri" w:hAnsi="Calibri"/>
          <w:color w:val="525866"/>
          <w:sz w:val="22"/>
        </w:rPr>
        <w:t>Synopsys serves the semiconductor EDA and simulation market. Its commentary on chip design activity, AI infrastructure demand, and the non-AI semiconductor recovery is relevant to PTC's electronics and high-tech vertical and its Codebeamer ALM product (used in software-defined chip design).</w:t>
      </w:r>
    </w:p>
    <w:p>
      <w:pPr>
        <w:pStyle w:val="ListBullet"/>
        <w:ind w:left="360" w:hanging="360"/>
      </w:pPr>
      <w:r>
        <w:rPr>
          <w:rFonts w:ascii="Calibri" w:hAnsi="Calibri"/>
          <w:b/>
          <w:color w:val="525866"/>
          <w:sz w:val="22"/>
        </w:rPr>
        <w:t xml:space="preserve">AI infrastructure semiconductor demand remains strong; non-AI semi has bottomed but not yet turned: </w:t>
      </w:r>
      <w:r>
        <w:rPr>
          <w:rFonts w:ascii="Calibri" w:hAnsi="Calibri"/>
          <w:color w:val="525866"/>
          <w:sz w:val="22"/>
        </w:rPr>
        <w:t xml:space="preserve">Synopsys CEO Sassine Ghazi noted that companies serving AI infrastructure are seeing continued chip start increases (from 4 to 5–6 per year), while the rest of the semiconductor industry "seems like it hit the bottom" in the last two quarters but has not yet shown an increase. </w:t>
      </w:r>
      <w:r>
        <w:rPr>
          <w:rFonts w:ascii="Calibri" w:hAnsi="Calibri"/>
          <w:i/>
          <w:color w:val="525866"/>
          <w:sz w:val="22"/>
        </w:rPr>
        <w:t xml:space="preserve">PTC Read-Through: </w:t>
      </w:r>
      <w:r>
        <w:rPr>
          <w:rFonts w:ascii="Calibri" w:hAnsi="Calibri"/>
          <w:i/>
          <w:color w:val="525866"/>
          <w:sz w:val="22"/>
        </w:rPr>
        <w:t>Mixed signal for PTC's electronics vertical. The AI infrastructure strength is a clear tailwind (data center component manufacturers are PTC's strongest sub-vertical), but the non-AI semi recovery being delayed means PTC's broader electronics ARR may not see a broad-based acceleration in Q3. Net-net, the AI infrastructure tailwind likely dominates.</w:t>
      </w:r>
    </w:p>
    <w:p>
      <w:pPr>
        <w:pStyle w:val="ListBullet"/>
        <w:ind w:left="360" w:hanging="360"/>
      </w:pPr>
      <w:r>
        <w:rPr>
          <w:rFonts w:ascii="Calibri" w:hAnsi="Calibri"/>
          <w:b/>
          <w:color w:val="525866"/>
          <w:sz w:val="22"/>
        </w:rPr>
        <w:t xml:space="preserve">Agentic AI changing the chip design workflow — consumption-based monetization emerging: </w:t>
      </w:r>
      <w:r>
        <w:rPr>
          <w:rFonts w:ascii="Calibri" w:hAnsi="Calibri"/>
          <w:color w:val="525866"/>
          <w:sz w:val="22"/>
        </w:rPr>
        <w:t xml:space="preserve">Synopsys described a shift from human engineers to "agent engineers" running EDA tools, with a new product featuring "multi-agent adaptive orchestration" to go from spec to verified RTL. The company is in discussions with AI labs about royalty-based revenue models. </w:t>
      </w:r>
      <w:r>
        <w:rPr>
          <w:rFonts w:ascii="Calibri" w:hAnsi="Calibri"/>
          <w:i/>
          <w:color w:val="525866"/>
          <w:sz w:val="22"/>
        </w:rPr>
        <w:t xml:space="preserve">PTC Read-Through: </w:t>
      </w:r>
      <w:r>
        <w:rPr>
          <w:rFonts w:ascii="Calibri" w:hAnsi="Calibri"/>
          <w:i/>
          <w:color w:val="525866"/>
          <w:sz w:val="22"/>
        </w:rPr>
        <w:t>The agentic AI monetization model (subscription + consumption) being validated in EDA is directly analogous to PTC's AI SKU expansion strategy. Synopsys's success in moving customers from POC to production-scale AI (similar to PTC's ServiceMax AI 7-figure SKU) validates the commercial model.</w:t>
      </w:r>
    </w:p>
    <w:p>
      <w:pPr>
        <w:pStyle w:val="ListBullet"/>
        <w:ind w:left="360" w:hanging="360"/>
      </w:pPr>
      <w:r>
        <w:rPr>
          <w:rFonts w:ascii="Calibri" w:hAnsi="Calibri"/>
          <w:b/>
          <w:color w:val="525866"/>
          <w:sz w:val="22"/>
        </w:rPr>
        <w:t xml:space="preserve">Physical AI driving more chip starts and IP demand: </w:t>
      </w:r>
      <w:r>
        <w:rPr>
          <w:rFonts w:ascii="Calibri" w:hAnsi="Calibri"/>
          <w:color w:val="525866"/>
          <w:sz w:val="22"/>
        </w:rPr>
        <w:t xml:space="preserve">Synopsys noted that "more physical AI coming requires more customization of chips, meaning more chip start" and that the IP opportunity is "significant." The NVIDIA-Synopsys partnership connecting Ansys to Omniverse for physical AI simulation was highlighted. </w:t>
      </w:r>
      <w:r>
        <w:rPr>
          <w:rFonts w:ascii="Calibri" w:hAnsi="Calibri"/>
          <w:i/>
          <w:color w:val="525866"/>
          <w:sz w:val="22"/>
        </w:rPr>
        <w:t xml:space="preserve">PTC Read-Through: </w:t>
      </w:r>
      <w:r>
        <w:rPr>
          <w:rFonts w:ascii="Calibri" w:hAnsi="Calibri"/>
          <w:i/>
          <w:color w:val="525866"/>
          <w:sz w:val="22"/>
        </w:rPr>
        <w:t>Physical AI (robotics, autonomous vehicles) is a shared tailwind for both Synopsys and PTC. PTC's Onshape is gaining share in robotics/physical AI, and Codebeamer is used for software-defined vehicle development. Synopsys's physical AI commentary validates the durability of this demand driver.</w:t>
      </w:r>
    </w:p>
    <w:p>
      <w:pPr>
        <w:pStyle w:val="ListBullet"/>
        <w:ind w:left="360" w:hanging="360"/>
      </w:pPr>
      <w:r>
        <w:rPr>
          <w:rFonts w:ascii="Calibri" w:hAnsi="Calibri"/>
          <w:b/>
          <w:color w:val="525866"/>
          <w:sz w:val="22"/>
        </w:rPr>
        <w:t xml:space="preserve">Commitment to double-digit EDA growth and 300+ bps margin expansion: </w:t>
      </w:r>
      <w:r>
        <w:rPr>
          <w:rFonts w:ascii="Calibri" w:hAnsi="Calibri"/>
          <w:color w:val="525866"/>
          <w:sz w:val="22"/>
        </w:rPr>
        <w:t xml:space="preserve">Synopsys guided to double-digit EDA growth for the full year and more than 300 bps of operating margin improvement, achieved through portfolio exits, 10% workforce reduction, and accelerated Ansys integration synergies. </w:t>
      </w:r>
      <w:r>
        <w:rPr>
          <w:rFonts w:ascii="Calibri" w:hAnsi="Calibri"/>
          <w:i/>
          <w:color w:val="525866"/>
          <w:sz w:val="22"/>
        </w:rPr>
        <w:t xml:space="preserve">PTC Read-Through: </w:t>
      </w:r>
      <w:r>
        <w:rPr>
          <w:rFonts w:ascii="Calibri" w:hAnsi="Calibri"/>
          <w:i/>
          <w:color w:val="525866"/>
          <w:sz w:val="22"/>
        </w:rPr>
        <w:t>Synopsys's margin expansion story (portfolio focus + cost discipline) mirrors PTC's post-divestiture narrative. Both companies are demonstrating that focused industrial software businesses can expand margins while investing in AI — a positive read-through for PTC's operating leverage story.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Signal</w:t>
            </w:r>
          </w:p>
        </w:tc>
        <w:tc>
          <w:tcPr>
            <w:tcW w:type="dxa" w:w="1728"/>
            <w:shd w:val="clear" w:color="auto" w:fill="3B4259"/>
          </w:tcPr>
          <w:p>
            <w:r>
              <w:rPr>
                <w:rFonts w:ascii="Calibri" w:hAnsi="Calibri"/>
                <w:b/>
                <w:color w:val="FFFFFF"/>
                <w:sz w:val="22"/>
              </w:rPr>
              <w:t>PTC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CDNS</w:t>
            </w:r>
          </w:p>
        </w:tc>
        <w:tc>
          <w:tcPr>
            <w:tcW w:type="dxa" w:w="1728"/>
          </w:tcPr>
          <w:p>
            <w:r>
              <w:rPr>
                <w:rFonts w:ascii="Calibri" w:hAnsi="Calibri"/>
                <w:sz w:val="22"/>
              </w:rPr>
              <w:t>Q2 2026 Earnings (Jul 27)</w:t>
            </w:r>
          </w:p>
        </w:tc>
        <w:tc>
          <w:tcPr>
            <w:tcW w:type="dxa" w:w="1728"/>
          </w:tcPr>
          <w:p>
            <w:r>
              <w:rPr>
                <w:rFonts w:ascii="Calibri" w:hAnsi="Calibri"/>
                <w:sz w:val="22"/>
              </w:rPr>
              <w:t>24% revenue growth, record $8.1B backlog, raised FY guidance to 19% growth</w:t>
            </w:r>
          </w:p>
        </w:tc>
        <w:tc>
          <w:tcPr>
            <w:tcW w:type="dxa" w:w="1728"/>
          </w:tcPr>
          <w:p>
            <w:r>
              <w:rPr>
                <w:rFonts w:ascii="Calibri" w:hAnsi="Calibri"/>
                <w:sz w:val="22"/>
              </w:rPr>
              <w:t>Electronics/high-tech demand accelerating; AI design tools driving TAM expansion</w:t>
            </w:r>
          </w:p>
        </w:tc>
        <w:tc>
          <w:tcPr>
            <w:tcW w:type="dxa" w:w="1728"/>
          </w:tcPr>
          <w:p>
            <w:r>
              <w:rPr>
                <w:rFonts w:ascii="Calibri" w:hAnsi="Calibri"/>
                <w:b/>
                <w:color w:val="30A46C"/>
                <w:sz w:val="22"/>
              </w:rPr>
              <w:t>Positive</w:t>
            </w:r>
          </w:p>
        </w:tc>
      </w:tr>
      <w:tr>
        <w:tc>
          <w:tcPr>
            <w:tcW w:type="dxa" w:w="1728"/>
          </w:tcPr>
          <w:p>
            <w:r>
              <w:rPr>
                <w:rFonts w:ascii="Calibri" w:hAnsi="Calibri"/>
                <w:sz w:val="22"/>
              </w:rPr>
              <w:t>CDNS</w:t>
            </w:r>
          </w:p>
        </w:tc>
        <w:tc>
          <w:tcPr>
            <w:tcW w:type="dxa" w:w="1728"/>
          </w:tcPr>
          <w:p>
            <w:r>
              <w:rPr>
                <w:rFonts w:ascii="Calibri" w:hAnsi="Calibri"/>
                <w:sz w:val="22"/>
              </w:rPr>
              <w:t>BofA Conference (Jun 3)</w:t>
            </w:r>
          </w:p>
        </w:tc>
        <w:tc>
          <w:tcPr>
            <w:tcW w:type="dxa" w:w="1728"/>
          </w:tcPr>
          <w:p>
            <w:r>
              <w:rPr>
                <w:rFonts w:ascii="Calibri" w:hAnsi="Calibri"/>
                <w:sz w:val="22"/>
              </w:rPr>
              <w:t>"Environment probably the best it has been"; design starts increasing; hyperscaler silicon commitment much higher than 12 months ago</w:t>
            </w:r>
          </w:p>
        </w:tc>
        <w:tc>
          <w:tcPr>
            <w:tcW w:type="dxa" w:w="1728"/>
          </w:tcPr>
          <w:p>
            <w:r>
              <w:rPr>
                <w:rFonts w:ascii="Calibri" w:hAnsi="Calibri"/>
                <w:sz w:val="22"/>
              </w:rPr>
              <w:t>Validates PTC's electronics vertical strength; data center build-out is multi-year tailwind</w:t>
            </w:r>
          </w:p>
        </w:tc>
        <w:tc>
          <w:tcPr>
            <w:tcW w:type="dxa" w:w="1728"/>
          </w:tcPr>
          <w:p>
            <w:r>
              <w:rPr>
                <w:rFonts w:ascii="Calibri" w:hAnsi="Calibri"/>
                <w:b/>
                <w:color w:val="30A46C"/>
                <w:sz w:val="22"/>
              </w:rPr>
              <w:t>Positive</w:t>
            </w:r>
          </w:p>
        </w:tc>
      </w:tr>
      <w:tr>
        <w:tc>
          <w:tcPr>
            <w:tcW w:type="dxa" w:w="1728"/>
          </w:tcPr>
          <w:p>
            <w:r>
              <w:rPr>
                <w:rFonts w:ascii="Calibri" w:hAnsi="Calibri"/>
                <w:sz w:val="22"/>
              </w:rPr>
              <w:t>CDNS</w:t>
            </w:r>
          </w:p>
        </w:tc>
        <w:tc>
          <w:tcPr>
            <w:tcW w:type="dxa" w:w="1728"/>
          </w:tcPr>
          <w:p>
            <w:r>
              <w:rPr>
                <w:rFonts w:ascii="Calibri" w:hAnsi="Calibri"/>
                <w:sz w:val="22"/>
              </w:rPr>
              <w:t>Nasdaq/Jefferies Conference (Jun 9)</w:t>
            </w:r>
          </w:p>
        </w:tc>
        <w:tc>
          <w:tcPr>
            <w:tcW w:type="dxa" w:w="1728"/>
          </w:tcPr>
          <w:p>
            <w:r>
              <w:rPr>
                <w:rFonts w:ascii="Calibri" w:hAnsi="Calibri"/>
                <w:sz w:val="22"/>
              </w:rPr>
              <w:t>Agentic AI as demand accelerator; customers willing to spend 50% of engineer costs on AI tokens; EDA share of R&amp;D budget could expand from 11% to 33%</w:t>
            </w:r>
          </w:p>
        </w:tc>
        <w:tc>
          <w:tcPr>
            <w:tcW w:type="dxa" w:w="1728"/>
          </w:tcPr>
          <w:p>
            <w:r>
              <w:rPr>
                <w:rFonts w:ascii="Calibri" w:hAnsi="Calibri"/>
                <w:sz w:val="22"/>
              </w:rPr>
              <w:t>Validates PTC's AI monetization thesis; subscription + consumption model being proven in adjacent market</w:t>
            </w:r>
          </w:p>
        </w:tc>
        <w:tc>
          <w:tcPr>
            <w:tcW w:type="dxa" w:w="1728"/>
          </w:tcPr>
          <w:p>
            <w:r>
              <w:rPr>
                <w:rFonts w:ascii="Calibri" w:hAnsi="Calibri"/>
                <w:b/>
                <w:color w:val="30A46C"/>
                <w:sz w:val="22"/>
              </w:rPr>
              <w:t>Positive</w:t>
            </w:r>
          </w:p>
        </w:tc>
      </w:tr>
      <w:tr>
        <w:tc>
          <w:tcPr>
            <w:tcW w:type="dxa" w:w="1728"/>
          </w:tcPr>
          <w:p>
            <w:r>
              <w:rPr>
                <w:rFonts w:ascii="Calibri" w:hAnsi="Calibri"/>
                <w:sz w:val="22"/>
              </w:rPr>
              <w:t>ADSK</w:t>
            </w:r>
          </w:p>
        </w:tc>
        <w:tc>
          <w:tcPr>
            <w:tcW w:type="dxa" w:w="1728"/>
          </w:tcPr>
          <w:p>
            <w:r>
              <w:rPr>
                <w:rFonts w:ascii="Calibri" w:hAnsi="Calibri"/>
                <w:sz w:val="22"/>
              </w:rPr>
              <w:t>Q1 FY27 Earnings (May 28)</w:t>
            </w:r>
          </w:p>
        </w:tc>
        <w:tc>
          <w:tcPr>
            <w:tcW w:type="dxa" w:w="1728"/>
          </w:tcPr>
          <w:p>
            <w:r>
              <w:rPr>
                <w:rFonts w:ascii="Calibri" w:hAnsi="Calibri"/>
                <w:sz w:val="22"/>
              </w:rPr>
              <w:t>Revenue and EPS above high end of guidance; billings and FCF beat by $150M+; renewals strong; raised FY guidance</w:t>
            </w:r>
          </w:p>
        </w:tc>
        <w:tc>
          <w:tcPr>
            <w:tcW w:type="dxa" w:w="1728"/>
          </w:tcPr>
          <w:p>
            <w:r>
              <w:rPr>
                <w:rFonts w:ascii="Calibri" w:hAnsi="Calibri"/>
                <w:sz w:val="22"/>
              </w:rPr>
              <w:t>Industrial software renewal environment healthy; enterprise budgets for CAD/PLM intact</w:t>
            </w:r>
          </w:p>
        </w:tc>
        <w:tc>
          <w:tcPr>
            <w:tcW w:type="dxa" w:w="1728"/>
          </w:tcPr>
          <w:p>
            <w:r>
              <w:rPr>
                <w:rFonts w:ascii="Calibri" w:hAnsi="Calibri"/>
                <w:b/>
                <w:color w:val="30A46C"/>
                <w:sz w:val="22"/>
              </w:rPr>
              <w:t>Positive</w:t>
            </w:r>
          </w:p>
        </w:tc>
      </w:tr>
      <w:tr>
        <w:tc>
          <w:tcPr>
            <w:tcW w:type="dxa" w:w="1728"/>
          </w:tcPr>
          <w:p>
            <w:r>
              <w:rPr>
                <w:rFonts w:ascii="Calibri" w:hAnsi="Calibri"/>
                <w:sz w:val="22"/>
              </w:rPr>
              <w:t>ADSK</w:t>
            </w:r>
          </w:p>
        </w:tc>
        <w:tc>
          <w:tcPr>
            <w:tcW w:type="dxa" w:w="1728"/>
          </w:tcPr>
          <w:p>
            <w:r>
              <w:rPr>
                <w:rFonts w:ascii="Calibri" w:hAnsi="Calibri"/>
                <w:sz w:val="22"/>
              </w:rPr>
              <w:t>BofA Conference (Jun 3)</w:t>
            </w:r>
          </w:p>
        </w:tc>
        <w:tc>
          <w:tcPr>
            <w:tcW w:type="dxa" w:w="1728"/>
          </w:tcPr>
          <w:p>
            <w:r>
              <w:rPr>
                <w:rFonts w:ascii="Calibri" w:hAnsi="Calibri"/>
                <w:sz w:val="22"/>
              </w:rPr>
              <w:t>Manufacturing customers demanding convergence; automotive and industrial enterprise agreements expanding; data centers driving construction demand</w:t>
            </w:r>
          </w:p>
        </w:tc>
        <w:tc>
          <w:tcPr>
            <w:tcW w:type="dxa" w:w="1728"/>
          </w:tcPr>
          <w:p>
            <w:r>
              <w:rPr>
                <w:rFonts w:ascii="Calibri" w:hAnsi="Calibri"/>
                <w:sz w:val="22"/>
              </w:rPr>
              <w:t>Manufacturing digital transformation investment intact; validates PTC's modernization demand thesis</w:t>
            </w:r>
          </w:p>
        </w:tc>
        <w:tc>
          <w:tcPr>
            <w:tcW w:type="dxa" w:w="1728"/>
          </w:tcPr>
          <w:p>
            <w:r>
              <w:rPr>
                <w:rFonts w:ascii="Calibri" w:hAnsi="Calibri"/>
                <w:b/>
                <w:color w:val="30A46C"/>
                <w:sz w:val="22"/>
              </w:rPr>
              <w:t>Positive</w:t>
            </w:r>
          </w:p>
        </w:tc>
      </w:tr>
      <w:tr>
        <w:tc>
          <w:tcPr>
            <w:tcW w:type="dxa" w:w="1728"/>
          </w:tcPr>
          <w:p>
            <w:r>
              <w:rPr>
                <w:rFonts w:ascii="Calibri" w:hAnsi="Calibri"/>
                <w:sz w:val="22"/>
              </w:rPr>
              <w:t>ADSK</w:t>
            </w:r>
          </w:p>
        </w:tc>
        <w:tc>
          <w:tcPr>
            <w:tcW w:type="dxa" w:w="1728"/>
          </w:tcPr>
          <w:p>
            <w:r>
              <w:rPr>
                <w:rFonts w:ascii="Calibri" w:hAnsi="Calibri"/>
                <w:sz w:val="22"/>
              </w:rPr>
              <w:t>Baird Conference (Jun 4)</w:t>
            </w:r>
          </w:p>
        </w:tc>
        <w:tc>
          <w:tcPr>
            <w:tcW w:type="dxa" w:w="1728"/>
          </w:tcPr>
          <w:p>
            <w:r>
              <w:rPr>
                <w:rFonts w:ascii="Calibri" w:hAnsi="Calibri"/>
                <w:sz w:val="22"/>
              </w:rPr>
              <w:t>Go-to-market restructuring disrupting new subscriptions but renewals holding; "well within expectations"</w:t>
            </w:r>
          </w:p>
        </w:tc>
        <w:tc>
          <w:tcPr>
            <w:tcW w:type="dxa" w:w="1728"/>
          </w:tcPr>
          <w:p>
            <w:r>
              <w:rPr>
                <w:rFonts w:ascii="Calibri" w:hAnsi="Calibri"/>
                <w:sz w:val="22"/>
              </w:rPr>
              <w:t>PTC's own GTM transformation following normal pattern; renewal resilience is reassuring</w:t>
            </w:r>
          </w:p>
        </w:tc>
        <w:tc>
          <w:tcPr>
            <w:tcW w:type="dxa" w:w="1728"/>
          </w:tcPr>
          <w:p>
            <w:r>
              <w:rPr>
                <w:rFonts w:ascii="Calibri" w:hAnsi="Calibri"/>
                <w:b/>
                <w:color w:val="002FA7"/>
                <w:sz w:val="22"/>
              </w:rPr>
              <w:t>Neutral</w:t>
            </w:r>
          </w:p>
        </w:tc>
      </w:tr>
      <w:tr>
        <w:tc>
          <w:tcPr>
            <w:tcW w:type="dxa" w:w="1728"/>
          </w:tcPr>
          <w:p>
            <w:r>
              <w:rPr>
                <w:rFonts w:ascii="Calibri" w:hAnsi="Calibri"/>
                <w:sz w:val="22"/>
              </w:rPr>
              <w:t>SNPS</w:t>
            </w:r>
          </w:p>
        </w:tc>
        <w:tc>
          <w:tcPr>
            <w:tcW w:type="dxa" w:w="1728"/>
          </w:tcPr>
          <w:p>
            <w:r>
              <w:rPr>
                <w:rFonts w:ascii="Calibri" w:hAnsi="Calibri"/>
                <w:sz w:val="22"/>
              </w:rPr>
              <w:t>Mizuho Conference (Jun 9)</w:t>
            </w:r>
          </w:p>
        </w:tc>
        <w:tc>
          <w:tcPr>
            <w:tcW w:type="dxa" w:w="1728"/>
          </w:tcPr>
          <w:p>
            <w:r>
              <w:rPr>
                <w:rFonts w:ascii="Calibri" w:hAnsi="Calibri"/>
                <w:sz w:val="22"/>
              </w:rPr>
              <w:t>AI infrastructure chip starts accelerating; non-AI semi bottomed but not yet recovering; physical AI driving new design activity</w:t>
            </w:r>
          </w:p>
        </w:tc>
        <w:tc>
          <w:tcPr>
            <w:tcW w:type="dxa" w:w="1728"/>
          </w:tcPr>
          <w:p>
            <w:r>
              <w:rPr>
                <w:rFonts w:ascii="Calibri" w:hAnsi="Calibri"/>
                <w:sz w:val="22"/>
              </w:rPr>
              <w:t>AI infrastructure tailwind intact for PTC's electronics vertical; non-AI semi recovery delay is a modest headwind</w:t>
            </w:r>
          </w:p>
        </w:tc>
        <w:tc>
          <w:tcPr>
            <w:tcW w:type="dxa" w:w="1728"/>
          </w:tcPr>
          <w:p>
            <w:r>
              <w:rPr>
                <w:rFonts w:ascii="Calibri" w:hAnsi="Calibri"/>
                <w:b/>
                <w:color w:val="002FA7"/>
                <w:sz w:val="22"/>
              </w:rPr>
              <w:t>Mixed</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