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ptc-earnings-predictions--2026-07-29"/>
    <w:p>
      <w:pPr>
        <w:pStyle w:val="Heading1"/>
      </w:pPr>
      <w:r>
        <w:t xml:space="preserve">PTC Earnings Predictions — 2026-07-29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PTC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Exit ARR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~$2.468B vs. cons $2.462B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PTC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Net new ARR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~$50.0M vs. cons $47.9M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PTC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Non-GAAP diluted EPS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~$1.60 vs. cons $1.536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PTC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Q4 FY26 revenue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 ~</w:t>
            </w:r>
            <m:oMath>
              <m:r>
                <m:t>620</m:t>
              </m:r>
              <m:r>
                <m:t>M</m:t>
              </m:r>
              <m:r>
                <m:rPr>
                  <m:sty m:val="p"/>
                </m:rPr>
                <m:t>−</m:t>
              </m:r>
            </m:oMath>
            <w:r>
              <w:t xml:space="preserve">670M vs. cons $651.7M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PTC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Q4 FY26 non-GAAP EPS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 ~</w:t>
            </w:r>
            <m:oMath>
              <m:r>
                <m:t>1.55</m:t>
              </m:r>
              <m:r>
                <m:rPr>
                  <m:sty m:val="p"/>
                </m:rPr>
                <m:t>−</m:t>
              </m:r>
            </m:oMath>
            <w:r>
              <w:t xml:space="preserve">1.95 vs. cons $1.786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PTC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FY26 FCF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~$850M vs. cons $851.8M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PTC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-3.0%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PTC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-4.5% (FOLLOW-THROUGH)</w:t>
            </w:r>
          </w:p>
        </w:tc>
        <w:tc>
          <w:tcPr/>
          <w:p>
            <w:pPr>
              <w:pStyle w:val="Compact"/>
            </w:pPr>
            <w:r>
              <w:t xml:space="preserve">FOLLOW-THROUGH — implicit Q4 estimate risk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2026-08-01T02:05:56Z</dcterms:created>
  <dcterms:modified xsi:type="dcterms:W3CDTF">2026-08-01T02:05:56Z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