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PTC Inc. (PTC) — Fiscal Q3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PTC Inc.</w:t>
            </w:r>
          </w:p>
        </w:tc>
        <w:tc>
          <w:tcPr>
            <w:tcW w:type="dxa" w:w="2160"/>
          </w:tcPr>
          <w:p>
            <w:r>
              <w:rPr>
                <w:rFonts w:ascii="Calibri" w:hAnsi="Calibri"/>
                <w:b/>
                <w:sz w:val="22"/>
              </w:rPr>
              <w:t>Ticker</w:t>
            </w:r>
          </w:p>
        </w:tc>
        <w:tc>
          <w:tcPr>
            <w:tcW w:type="dxa" w:w="2160"/>
          </w:tcPr>
          <w:p>
            <w:r>
              <w:rPr>
                <w:rFonts w:ascii="Calibri" w:hAnsi="Calibri"/>
                <w:sz w:val="22"/>
              </w:rPr>
              <w:t>NASDAQ: PTC</w:t>
            </w:r>
          </w:p>
        </w:tc>
      </w:tr>
      <w:tr>
        <w:tc>
          <w:tcPr>
            <w:tcW w:type="dxa" w:w="2160"/>
          </w:tcPr>
          <w:p>
            <w:r>
              <w:rPr>
                <w:rFonts w:ascii="Calibri" w:hAnsi="Calibri"/>
                <w:b/>
                <w:sz w:val="22"/>
              </w:rPr>
              <w:t>Upcoming Earnings Date</w:t>
            </w:r>
          </w:p>
        </w:tc>
        <w:tc>
          <w:tcPr>
            <w:tcW w:type="dxa" w:w="2160"/>
          </w:tcPr>
          <w:p>
            <w:r>
              <w:rPr>
                <w:rFonts w:ascii="Calibri" w:hAnsi="Calibri"/>
                <w:sz w:val="22"/>
              </w:rPr>
              <w:t>July 29, 2026 (After Market Close)</w:t>
            </w:r>
          </w:p>
        </w:tc>
        <w:tc>
          <w:tcPr>
            <w:tcW w:type="dxa" w:w="2160"/>
          </w:tcPr>
          <w:p>
            <w:r>
              <w:rPr>
                <w:rFonts w:ascii="Calibri" w:hAnsi="Calibri"/>
                <w:b/>
                <w:sz w:val="22"/>
              </w:rPr>
              <w:t>Preparation Date</w:t>
            </w:r>
          </w:p>
        </w:tc>
        <w:tc>
          <w:tcPr>
            <w:tcW w:type="dxa" w:w="2160"/>
          </w:tcPr>
          <w:p>
            <w:r>
              <w:rPr>
                <w:rFonts w:ascii="Calibri" w:hAnsi="Calibri"/>
                <w:sz w:val="22"/>
              </w:rPr>
              <w:t>July 28, 2026</w:t>
            </w:r>
          </w:p>
        </w:tc>
      </w:tr>
      <w:tr>
        <w:tc>
          <w:tcPr>
            <w:tcW w:type="dxa" w:w="2160"/>
          </w:tcPr>
          <w:p>
            <w:r>
              <w:rPr>
                <w:rFonts w:ascii="Calibri" w:hAnsi="Calibri"/>
                <w:b/>
                <w:sz w:val="22"/>
              </w:rPr>
              <w:t>Reporting Period</w:t>
            </w:r>
          </w:p>
        </w:tc>
        <w:tc>
          <w:tcPr>
            <w:tcW w:type="dxa" w:w="2160"/>
          </w:tcPr>
          <w:p>
            <w:r>
              <w:rPr>
                <w:rFonts w:ascii="Calibri" w:hAnsi="Calibri"/>
                <w:sz w:val="22"/>
              </w:rPr>
              <w:t>Fiscal Q3 2026 (Quarter ended June 30, 2026)</w:t>
            </w:r>
          </w:p>
        </w:tc>
        <w:tc>
          <w:tcPr>
            <w:tcW w:type="dxa" w:w="2160"/>
          </w:tcPr>
          <w:p>
            <w:r>
              <w:rPr>
                <w:rFonts w:ascii="Calibri" w:hAnsi="Calibri"/>
                <w:b/>
                <w:sz w:val="22"/>
              </w:rPr>
              <w:t>Analyst Call</w:t>
            </w:r>
          </w:p>
        </w:tc>
        <w:tc>
          <w:tcPr>
            <w:tcW w:type="dxa" w:w="2160"/>
          </w:tcPr>
          <w:p>
            <w:r>
              <w:rPr>
                <w:rFonts w:ascii="Calibri" w:hAnsi="Calibri"/>
                <w:sz w:val="22"/>
              </w:rPr>
              <w:t>July 29, 2026 at 5:00 PM ET</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Setup is mixed-to-cautiously-constructive — consensus ARR bar is modest and management has explicitly de-risked the low end of full-year guidance, but the stock has de-rated sharply since Q2 earnings and the market will demand evidence that the Q4 deferred-ARR step-up is on track.</w:t>
      </w:r>
      <w:r>
        <w:rPr>
          <w:rFonts w:ascii="Calibri" w:hAnsi="Calibri"/>
          <w:color w:val="525866"/>
          <w:sz w:val="22"/>
        </w:rPr>
        <w:t xml:space="preserve"> The single biggest swing factor is </w:t>
      </w:r>
      <w:r>
        <w:rPr>
          <w:rFonts w:ascii="Calibri" w:hAnsi="Calibri"/>
          <w:b/>
          <w:color w:val="525866"/>
          <w:sz w:val="22"/>
        </w:rPr>
        <w:t>net new ARR and any updated commentary on deferred ARR conversion timing.</w:t>
      </w:r>
    </w:p>
    <w:p>
      <w:r>
        <w:rPr>
          <w:rFonts w:ascii="Calibri" w:hAnsi="Calibri"/>
          <w:color w:val="525866"/>
          <w:sz w:val="22"/>
        </w:rPr>
        <w:t xml:space="preserve">Heading into fiscal Q3 2026, the consensus ARR bar of ~$2.46B implies roughly 8–9% constant-currency growth, squarely within PTC's own guided range of 8%–9% — a bar management has already signaled confidence in clearing. </w:t>
      </w:r>
      <w:r>
        <w:rPr>
          <w:rFonts w:ascii="Calibri" w:hAnsi="Calibri"/>
          <w:b/>
          <w:color w:val="525866"/>
          <w:sz w:val="22"/>
        </w:rPr>
        <w:t>Management's posture has been increasingly constructive</w:t>
      </w:r>
      <w:r>
        <w:rPr>
          <w:rFonts w:ascii="Calibri" w:hAnsi="Calibri"/>
          <w:color w:val="525866"/>
          <w:sz w:val="22"/>
        </w:rPr>
        <w:t xml:space="preserve"> since the Q2 print: at the May 2026 JP Morgan conference, CEO Neil Barua described a "notable inflection in customer confidence" over the prior 90 days, with electronics/high-tech and federal aerospace &amp; defense cited as the two strongest verticals. Estimate revisions have been broadly stable post-Q2, with ARR consensus essentially flat and operating EPS estimates ticking up modestly on buyback math — suggesting the street is tracking guidance rather than pricing in upside. </w:t>
      </w:r>
      <w:r>
        <w:rPr>
          <w:rFonts w:ascii="Calibri" w:hAnsi="Calibri"/>
          <w:b/>
          <w:color w:val="525866"/>
          <w:sz w:val="22"/>
        </w:rPr>
        <w:t>The stock has underperformed sharply</w:t>
      </w:r>
      <w:r>
        <w:rPr>
          <w:rFonts w:ascii="Calibri" w:hAnsi="Calibri"/>
          <w:color w:val="525866"/>
          <w:sz w:val="22"/>
        </w:rPr>
        <w:t xml:space="preserve"> since Q2 earnings (down ~17% vs. IGV roughly flat), driven almost entirely by multiple compression (EV/EBITDA contracted from ~18x to ~11x over six months), leaving the stock at a meaningful discount to historical averages and creating a lower bar for a positive reaction. The key wildcard is the </w:t>
      </w:r>
      <w:r>
        <w:rPr>
          <w:rFonts w:ascii="Calibri" w:hAnsi="Calibri"/>
          <w:b/>
          <w:color w:val="525866"/>
          <w:sz w:val="22"/>
        </w:rPr>
        <w:t>PTC NEXT Chicago product launch event</w:t>
      </w:r>
      <w:r>
        <w:rPr>
          <w:rFonts w:ascii="Calibri" w:hAnsi="Calibri"/>
          <w:color w:val="525866"/>
          <w:sz w:val="22"/>
        </w:rPr>
        <w:t xml:space="preserve"> (held in June 2026), where management teased the company's first organically built product in decades — any commercial traction signal or AI monetization update could be a meaningful positive catalyst, while any softening in deferred ARR build commentary would be the primary downside risk.</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ARR of ~$2.46B sits at the midpoint of guidance, representing a manageable bar management has already signaled confidence in. </w:t>
      </w:r>
      <w:r>
        <w:rPr>
          <w:rFonts w:ascii="Calibri" w:hAnsi="Calibri"/>
          <w:b/>
          <w:color w:val="525866"/>
          <w:sz w:val="22"/>
        </w:rPr>
        <w:t>Operating EPS is the bigger swing factor</w:t>
      </w:r>
      <w:r>
        <w:rPr>
          <w:rFonts w:ascii="Calibri" w:hAnsi="Calibri"/>
          <w:color w:val="525866"/>
          <w:sz w:val="22"/>
        </w:rPr>
        <w:t xml:space="preserve"> — consensus of ~$1.54 is well below Q2's $2.69 beat, but Q2 benefited from longer-duration renewals that pulled forward revenue; Q3 is expected to normalize.</w:t>
      </w:r>
    </w:p>
    <w:p>
      <w:pPr>
        <w:pStyle w:val="Heading3"/>
      </w:pPr>
      <w:r>
        <w:rPr>
          <w:rFonts w:ascii="Calibri" w:hAnsi="Calibri"/>
          <w:b/>
          <w:color w:val="3B4259"/>
          <w:sz w:val="24"/>
        </w:rPr>
        <w:t>Table 1 — Current Quarter Snapshot (Fiscal Q3 2026,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FY26)</w:t>
            </w:r>
          </w:p>
        </w:tc>
        <w:tc>
          <w:tcPr>
            <w:tcW w:type="dxa" w:w="1234"/>
            <w:shd w:val="clear" w:color="auto" w:fill="3B4259"/>
          </w:tcPr>
          <w:p>
            <w:r>
              <w:rPr>
                <w:rFonts w:ascii="Calibri" w:hAnsi="Calibri"/>
                <w:b/>
                <w:color w:val="FFFFFF"/>
                <w:sz w:val="22"/>
              </w:rPr>
              <w:t>Prior Year Period (Q3 FY25)</w:t>
            </w:r>
          </w:p>
        </w:tc>
        <w:tc>
          <w:tcPr>
            <w:tcW w:type="dxa" w:w="1234"/>
            <w:shd w:val="clear" w:color="auto" w:fill="3B4259"/>
          </w:tcPr>
          <w:p>
            <w:r>
              <w:rPr>
                <w:rFonts w:ascii="Calibri" w:hAnsi="Calibri"/>
                <w:b/>
                <w:color w:val="FFFFFF"/>
                <w:sz w:val="22"/>
              </w:rPr>
              <w:t>Q3 FY26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Q3 FY26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ARR (Constant Currency, ex-divestitures)</w:t>
            </w:r>
          </w:p>
        </w:tc>
        <w:tc>
          <w:tcPr>
            <w:tcW w:type="dxa" w:w="1234"/>
          </w:tcPr>
          <w:p>
            <w:r>
              <w:rPr>
                <w:rFonts w:ascii="Calibri" w:hAnsi="Calibri"/>
                <w:sz w:val="22"/>
              </w:rPr>
              <w:t>$2,388M (CC) / $2,365M reported</w:t>
            </w:r>
          </w:p>
        </w:tc>
        <w:tc>
          <w:tcPr>
            <w:tcW w:type="dxa" w:w="1234"/>
          </w:tcPr>
          <w:p>
            <w:r>
              <w:rPr>
                <w:rFonts w:ascii="Calibri" w:hAnsi="Calibri"/>
                <w:sz w:val="22"/>
              </w:rPr>
              <w:t>$2,256M</w:t>
            </w:r>
          </w:p>
        </w:tc>
        <w:tc>
          <w:tcPr>
            <w:tcW w:type="dxa" w:w="1234"/>
          </w:tcPr>
          <w:p>
            <w:r>
              <w:rPr>
                <w:rFonts w:ascii="Calibri" w:hAnsi="Calibri"/>
                <w:sz w:val="22"/>
              </w:rPr>
              <w:t>$2,462M</w:t>
            </w:r>
          </w:p>
        </w:tc>
        <w:tc>
          <w:tcPr>
            <w:tcW w:type="dxa" w:w="1234"/>
          </w:tcPr>
          <w:p>
            <w:r>
              <w:rPr>
                <w:rFonts w:ascii="Calibri" w:hAnsi="Calibri"/>
                <w:sz w:val="22"/>
              </w:rPr>
              <w:t>+~9% YoY</w:t>
            </w:r>
          </w:p>
        </w:tc>
        <w:tc>
          <w:tcPr>
            <w:tcW w:type="dxa" w:w="1234"/>
          </w:tcPr>
          <w:p>
            <w:r>
              <w:rPr>
                <w:rFonts w:ascii="Calibri" w:hAnsi="Calibri"/>
                <w:sz w:val="22"/>
              </w:rPr>
              <w:t>8%–9% CC growth</w:t>
            </w:r>
          </w:p>
        </w:tc>
        <w:tc>
          <w:tcPr>
            <w:tcW w:type="dxa" w:w="1234"/>
          </w:tcPr>
          <w:p>
            <w:r>
              <w:rPr>
                <w:rFonts w:ascii="Calibri" w:hAnsi="Calibri"/>
                <w:sz w:val="22"/>
              </w:rPr>
              <w:t>~+0.5% above midpoint</w:t>
            </w:r>
          </w:p>
        </w:tc>
      </w:tr>
      <w:tr>
        <w:tc>
          <w:tcPr>
            <w:tcW w:type="dxa" w:w="1234"/>
          </w:tcPr>
          <w:p>
            <w:r>
              <w:rPr>
                <w:rFonts w:ascii="Calibri" w:hAnsi="Calibri"/>
                <w:sz w:val="22"/>
              </w:rPr>
              <w:t>Net New ARR</w:t>
            </w:r>
          </w:p>
        </w:tc>
        <w:tc>
          <w:tcPr>
            <w:tcW w:type="dxa" w:w="1234"/>
          </w:tcPr>
          <w:p>
            <w:r>
              <w:rPr>
                <w:rFonts w:ascii="Calibri" w:hAnsi="Calibri"/>
                <w:sz w:val="22"/>
              </w:rPr>
              <w:t>$45.9M</w:t>
            </w:r>
          </w:p>
        </w:tc>
        <w:tc>
          <w:tcPr>
            <w:tcW w:type="dxa" w:w="1234"/>
          </w:tcPr>
          <w:p>
            <w:r>
              <w:rPr>
                <w:rFonts w:ascii="Calibri" w:hAnsi="Calibri"/>
                <w:sz w:val="22"/>
              </w:rPr>
              <w:t>$44.5M</w:t>
            </w:r>
          </w:p>
        </w:tc>
        <w:tc>
          <w:tcPr>
            <w:tcW w:type="dxa" w:w="1234"/>
          </w:tcPr>
          <w:p>
            <w:r>
              <w:rPr>
                <w:rFonts w:ascii="Calibri" w:hAnsi="Calibri"/>
                <w:sz w:val="22"/>
              </w:rPr>
              <w:t>$47.9M</w:t>
            </w:r>
          </w:p>
        </w:tc>
        <w:tc>
          <w:tcPr>
            <w:tcW w:type="dxa" w:w="1234"/>
          </w:tcPr>
          <w:p>
            <w:r>
              <w:rPr>
                <w:rFonts w:ascii="Calibri" w:hAnsi="Calibri"/>
                <w:sz w:val="22"/>
              </w:rPr>
              <w:t>+~8% YoY</w:t>
            </w:r>
          </w:p>
        </w:tc>
        <w:tc>
          <w:tcPr>
            <w:tcW w:type="dxa" w:w="1234"/>
          </w:tcPr>
          <w:p>
            <w:r>
              <w:rPr>
                <w:rFonts w:ascii="Calibri" w:hAnsi="Calibri"/>
                <w:sz w:val="22"/>
              </w:rPr>
              <w:t>$40M–$55M (implied)</w:t>
            </w:r>
          </w:p>
        </w:tc>
        <w:tc>
          <w:tcPr>
            <w:tcW w:type="dxa" w:w="1234"/>
          </w:tcPr>
          <w:p>
            <w:r>
              <w:rPr>
                <w:rFonts w:ascii="Calibri" w:hAnsi="Calibri"/>
                <w:sz w:val="22"/>
              </w:rPr>
              <w:t>~+1% above midpoint</w:t>
            </w:r>
          </w:p>
        </w:tc>
      </w:tr>
      <w:tr>
        <w:tc>
          <w:tcPr>
            <w:tcW w:type="dxa" w:w="1234"/>
          </w:tcPr>
          <w:p>
            <w:r>
              <w:rPr>
                <w:rFonts w:ascii="Calibri" w:hAnsi="Calibri"/>
                <w:sz w:val="22"/>
              </w:rPr>
              <w:t>Total Revenue (Operating)</w:t>
            </w:r>
          </w:p>
        </w:tc>
        <w:tc>
          <w:tcPr>
            <w:tcW w:type="dxa" w:w="1234"/>
          </w:tcPr>
          <w:p>
            <w:r>
              <w:rPr>
                <w:rFonts w:ascii="Calibri" w:hAnsi="Calibri"/>
                <w:sz w:val="22"/>
              </w:rPr>
              <w:t>$774M</w:t>
            </w:r>
          </w:p>
        </w:tc>
        <w:tc>
          <w:tcPr>
            <w:tcW w:type="dxa" w:w="1234"/>
          </w:tcPr>
          <w:p>
            <w:r>
              <w:rPr>
                <w:rFonts w:ascii="Calibri" w:hAnsi="Calibri"/>
                <w:sz w:val="22"/>
              </w:rPr>
              <w:t>$644M</w:t>
            </w:r>
          </w:p>
        </w:tc>
        <w:tc>
          <w:tcPr>
            <w:tcW w:type="dxa" w:w="1234"/>
          </w:tcPr>
          <w:p>
            <w:r>
              <w:rPr>
                <w:rFonts w:ascii="Calibri" w:hAnsi="Calibri"/>
                <w:sz w:val="22"/>
              </w:rPr>
              <w:t>$608M</w:t>
            </w:r>
          </w:p>
        </w:tc>
        <w:tc>
          <w:tcPr>
            <w:tcW w:type="dxa" w:w="1234"/>
          </w:tcPr>
          <w:p>
            <w:r>
              <w:rPr>
                <w:rFonts w:ascii="Calibri" w:hAnsi="Calibri"/>
                <w:sz w:val="22"/>
              </w:rPr>
              <w:t>-6% YoY (normalization from Q2 duration benefit)</w:t>
            </w:r>
          </w:p>
        </w:tc>
        <w:tc>
          <w:tcPr>
            <w:tcW w:type="dxa" w:w="1234"/>
          </w:tcPr>
          <w:p>
            <w:r>
              <w:rPr>
                <w:rFonts w:ascii="Calibri" w:hAnsi="Calibri"/>
                <w:sz w:val="22"/>
              </w:rPr>
              <w:t>$580M–$640M</w:t>
            </w:r>
          </w:p>
        </w:tc>
        <w:tc>
          <w:tcPr>
            <w:tcW w:type="dxa" w:w="1234"/>
          </w:tcPr>
          <w:p>
            <w:r>
              <w:rPr>
                <w:rFonts w:ascii="Calibri" w:hAnsi="Calibri"/>
                <w:sz w:val="22"/>
              </w:rPr>
              <w:t>~+0.1% above midpoint</w:t>
            </w:r>
          </w:p>
        </w:tc>
      </w:tr>
      <w:tr>
        <w:tc>
          <w:tcPr>
            <w:tcW w:type="dxa" w:w="1234"/>
          </w:tcPr>
          <w:p>
            <w:r>
              <w:rPr>
                <w:rFonts w:ascii="Calibri" w:hAnsi="Calibri"/>
                <w:sz w:val="22"/>
              </w:rPr>
              <w:t>EPS — Diluted Operating</w:t>
            </w:r>
          </w:p>
        </w:tc>
        <w:tc>
          <w:tcPr>
            <w:tcW w:type="dxa" w:w="1234"/>
          </w:tcPr>
          <w:p>
            <w:r>
              <w:rPr>
                <w:rFonts w:ascii="Calibri" w:hAnsi="Calibri"/>
                <w:sz w:val="22"/>
              </w:rPr>
              <w:t>$2.69</w:t>
            </w:r>
          </w:p>
        </w:tc>
        <w:tc>
          <w:tcPr>
            <w:tcW w:type="dxa" w:w="1234"/>
          </w:tcPr>
          <w:p>
            <w:r>
              <w:rPr>
                <w:rFonts w:ascii="Calibri" w:hAnsi="Calibri"/>
                <w:sz w:val="22"/>
              </w:rPr>
              <w:t>$1.64</w:t>
            </w:r>
          </w:p>
        </w:tc>
        <w:tc>
          <w:tcPr>
            <w:tcW w:type="dxa" w:w="1234"/>
          </w:tcPr>
          <w:p>
            <w:r>
              <w:rPr>
                <w:rFonts w:ascii="Calibri" w:hAnsi="Calibri"/>
                <w:sz w:val="22"/>
              </w:rPr>
              <w:t>$1.54</w:t>
            </w:r>
          </w:p>
        </w:tc>
        <w:tc>
          <w:tcPr>
            <w:tcW w:type="dxa" w:w="1234"/>
          </w:tcPr>
          <w:p>
            <w:r>
              <w:rPr>
                <w:rFonts w:ascii="Calibri" w:hAnsi="Calibri"/>
                <w:sz w:val="22"/>
              </w:rPr>
              <w:t>-6% YoY (normalization)</w:t>
            </w:r>
          </w:p>
        </w:tc>
        <w:tc>
          <w:tcPr>
            <w:tcW w:type="dxa" w:w="1234"/>
          </w:tcPr>
          <w:p>
            <w:r>
              <w:rPr>
                <w:rFonts w:ascii="Calibri" w:hAnsi="Calibri"/>
                <w:sz w:val="22"/>
              </w:rPr>
              <w:t>$1.24–$1.78</w:t>
            </w:r>
          </w:p>
        </w:tc>
        <w:tc>
          <w:tcPr>
            <w:tcW w:type="dxa" w:w="1234"/>
          </w:tcPr>
          <w:p>
            <w:r>
              <w:rPr>
                <w:rFonts w:ascii="Calibri" w:hAnsi="Calibri"/>
                <w:sz w:val="22"/>
              </w:rPr>
              <w:t>~-2% below midpoint</w:t>
            </w:r>
          </w:p>
        </w:tc>
      </w:tr>
      <w:tr>
        <w:tc>
          <w:tcPr>
            <w:tcW w:type="dxa" w:w="1234"/>
          </w:tcPr>
          <w:p>
            <w:r>
              <w:rPr>
                <w:rFonts w:ascii="Calibri" w:hAnsi="Calibri"/>
                <w:sz w:val="22"/>
              </w:rPr>
              <w:t>Free Cash Flow</w:t>
            </w:r>
          </w:p>
        </w:tc>
        <w:tc>
          <w:tcPr>
            <w:tcW w:type="dxa" w:w="1234"/>
          </w:tcPr>
          <w:p>
            <w:r>
              <w:rPr>
                <w:rFonts w:ascii="Calibri" w:hAnsi="Calibri"/>
                <w:sz w:val="22"/>
              </w:rPr>
              <w:t>$318M</w:t>
            </w:r>
          </w:p>
        </w:tc>
        <w:tc>
          <w:tcPr>
            <w:tcW w:type="dxa" w:w="1234"/>
          </w:tcPr>
          <w:p>
            <w:r>
              <w:rPr>
                <w:rFonts w:ascii="Calibri" w:hAnsi="Calibri"/>
                <w:sz w:val="22"/>
              </w:rPr>
              <w:t>$242M</w:t>
            </w:r>
          </w:p>
        </w:tc>
        <w:tc>
          <w:tcPr>
            <w:tcW w:type="dxa" w:w="1234"/>
          </w:tcPr>
          <w:p>
            <w:r>
              <w:rPr>
                <w:rFonts w:ascii="Calibri" w:hAnsi="Calibri"/>
                <w:sz w:val="22"/>
              </w:rPr>
              <w:t>$247M</w:t>
            </w:r>
          </w:p>
        </w:tc>
        <w:tc>
          <w:tcPr>
            <w:tcW w:type="dxa" w:w="1234"/>
          </w:tcPr>
          <w:p>
            <w:r>
              <w:rPr>
                <w:rFonts w:ascii="Calibri" w:hAnsi="Calibri"/>
                <w:sz w:val="22"/>
              </w:rPr>
              <w:t>+~2% YoY</w:t>
            </w:r>
          </w:p>
        </w:tc>
        <w:tc>
          <w:tcPr>
            <w:tcW w:type="dxa" w:w="1234"/>
          </w:tcPr>
          <w:p>
            <w:r>
              <w:rPr>
                <w:rFonts w:ascii="Calibri" w:hAnsi="Calibri"/>
                <w:sz w:val="22"/>
              </w:rPr>
              <w:t>$240M–$245M</w:t>
            </w:r>
          </w:p>
        </w:tc>
        <w:tc>
          <w:tcPr>
            <w:tcW w:type="dxa" w:w="1234"/>
          </w:tcPr>
          <w:p>
            <w:r>
              <w:rPr>
                <w:rFonts w:ascii="Calibri" w:hAnsi="Calibri"/>
                <w:sz w:val="22"/>
              </w:rPr>
              <w:t>~+1% above midpoint</w:t>
            </w:r>
          </w:p>
        </w:tc>
      </w:tr>
    </w:tbl>
    <w:p>
      <w:r>
        <w:rPr>
          <w:rFonts w:ascii="Calibri" w:hAnsi="Calibri"/>
          <w:i/>
          <w:color w:val="525866"/>
          <w:sz w:val="22"/>
        </w:rPr>
        <w:t>Sources: Visible Alpha Consensus and Actuals Data; PTC Q2 FY2026 Earnings Release (May 6, 2026). ARR consensus and actuals per Visible Alpha. Q3 FY26 guidance per PTC Q2 FY26 Earnings Release.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FY24</w:t>
            </w:r>
          </w:p>
        </w:tc>
        <w:tc>
          <w:tcPr>
            <w:tcW w:type="dxa" w:w="1440"/>
          </w:tcPr>
          <w:p>
            <w:r>
              <w:rPr>
                <w:rFonts w:ascii="Calibri" w:hAnsi="Calibri"/>
                <w:sz w:val="22"/>
              </w:rPr>
              <w:t>ARR</w:t>
            </w:r>
          </w:p>
        </w:tc>
        <w:tc>
          <w:tcPr>
            <w:tcW w:type="dxa" w:w="1440"/>
          </w:tcPr>
          <w:p>
            <w:r>
              <w:rPr>
                <w:rFonts w:ascii="Calibri" w:hAnsi="Calibri"/>
                <w:sz w:val="22"/>
              </w:rPr>
              <w:t>$2,126M</w:t>
            </w:r>
          </w:p>
        </w:tc>
        <w:tc>
          <w:tcPr>
            <w:tcW w:type="dxa" w:w="1440"/>
          </w:tcPr>
          <w:p>
            <w:r>
              <w:rPr>
                <w:rFonts w:ascii="Calibri" w:hAnsi="Calibri"/>
                <w:sz w:val="22"/>
              </w:rPr>
              <w:t>$2,127M</w:t>
            </w:r>
          </w:p>
        </w:tc>
        <w:tc>
          <w:tcPr>
            <w:tcW w:type="dxa" w:w="1440"/>
          </w:tcPr>
          <w:p>
            <w:r>
              <w:rPr>
                <w:rFonts w:ascii="Calibri" w:hAnsi="Calibri"/>
                <w:sz w:val="22"/>
              </w:rPr>
              <w:t>~0%</w:t>
            </w:r>
          </w:p>
        </w:tc>
        <w:tc>
          <w:tcPr>
            <w:tcW w:type="dxa" w:w="1440"/>
          </w:tcPr>
          <w:p>
            <w:r>
              <w:rPr>
                <w:rFonts w:ascii="Calibri" w:hAnsi="Calibri"/>
                <w:b/>
                <w:color w:val="002FA7"/>
                <w:sz w:val="22"/>
              </w:rPr>
              <w:t>In-Line</w:t>
            </w:r>
          </w:p>
        </w:tc>
      </w:tr>
      <w:tr>
        <w:tc>
          <w:tcPr>
            <w:tcW w:type="dxa" w:w="1440"/>
          </w:tcPr>
          <w:p>
            <w:r>
              <w:rPr>
                <w:rFonts w:ascii="Calibri" w:hAnsi="Calibri"/>
                <w:sz w:val="22"/>
              </w:rPr>
              <w:t>Q3 FY24</w:t>
            </w:r>
          </w:p>
        </w:tc>
        <w:tc>
          <w:tcPr>
            <w:tcW w:type="dxa" w:w="1440"/>
          </w:tcPr>
          <w:p>
            <w:r>
              <w:rPr>
                <w:rFonts w:ascii="Calibri" w:hAnsi="Calibri"/>
                <w:sz w:val="22"/>
              </w:rPr>
              <w:t>Op. EPS</w:t>
            </w:r>
          </w:p>
        </w:tc>
        <w:tc>
          <w:tcPr>
            <w:tcW w:type="dxa" w:w="1440"/>
          </w:tcPr>
          <w:p>
            <w:r>
              <w:rPr>
                <w:rFonts w:ascii="Calibri" w:hAnsi="Calibri"/>
                <w:sz w:val="22"/>
              </w:rPr>
              <w:t>$0.98</w:t>
            </w:r>
          </w:p>
        </w:tc>
        <w:tc>
          <w:tcPr>
            <w:tcW w:type="dxa" w:w="1440"/>
          </w:tcPr>
          <w:p>
            <w:r>
              <w:rPr>
                <w:rFonts w:ascii="Calibri" w:hAnsi="Calibri"/>
                <w:sz w:val="22"/>
              </w:rPr>
              <w:t>$0.97</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Q4 FY24</w:t>
            </w:r>
          </w:p>
        </w:tc>
        <w:tc>
          <w:tcPr>
            <w:tcW w:type="dxa" w:w="1440"/>
          </w:tcPr>
          <w:p>
            <w:r>
              <w:rPr>
                <w:rFonts w:ascii="Calibri" w:hAnsi="Calibri"/>
                <w:sz w:val="22"/>
              </w:rPr>
              <w:t>ARR</w:t>
            </w:r>
          </w:p>
        </w:tc>
        <w:tc>
          <w:tcPr>
            <w:tcW w:type="dxa" w:w="1440"/>
          </w:tcPr>
          <w:p>
            <w:r>
              <w:rPr>
                <w:rFonts w:ascii="Calibri" w:hAnsi="Calibri"/>
                <w:sz w:val="22"/>
              </w:rPr>
              <w:t>$2,255M</w:t>
            </w:r>
          </w:p>
        </w:tc>
        <w:tc>
          <w:tcPr>
            <w:tcW w:type="dxa" w:w="1440"/>
          </w:tcPr>
          <w:p>
            <w:r>
              <w:rPr>
                <w:rFonts w:ascii="Calibri" w:hAnsi="Calibri"/>
                <w:sz w:val="22"/>
              </w:rPr>
              <w:t>$2,220M</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Q4 FY24</w:t>
            </w:r>
          </w:p>
        </w:tc>
        <w:tc>
          <w:tcPr>
            <w:tcW w:type="dxa" w:w="1440"/>
          </w:tcPr>
          <w:p>
            <w:r>
              <w:rPr>
                <w:rFonts w:ascii="Calibri" w:hAnsi="Calibri"/>
                <w:sz w:val="22"/>
              </w:rPr>
              <w:t>Op. EPS</w:t>
            </w:r>
          </w:p>
        </w:tc>
        <w:tc>
          <w:tcPr>
            <w:tcW w:type="dxa" w:w="1440"/>
          </w:tcPr>
          <w:p>
            <w:r>
              <w:rPr>
                <w:rFonts w:ascii="Calibri" w:hAnsi="Calibri"/>
                <w:sz w:val="22"/>
              </w:rPr>
              <w:t>$1.54</w:t>
            </w:r>
          </w:p>
        </w:tc>
        <w:tc>
          <w:tcPr>
            <w:tcW w:type="dxa" w:w="1440"/>
          </w:tcPr>
          <w:p>
            <w:r>
              <w:rPr>
                <w:rFonts w:ascii="Calibri" w:hAnsi="Calibri"/>
                <w:sz w:val="22"/>
              </w:rPr>
              <w:t>$1.43</w:t>
            </w:r>
          </w:p>
        </w:tc>
        <w:tc>
          <w:tcPr>
            <w:tcW w:type="dxa" w:w="1440"/>
          </w:tcPr>
          <w:p>
            <w:r>
              <w:rPr>
                <w:rFonts w:ascii="Calibri" w:hAnsi="Calibri"/>
                <w:sz w:val="22"/>
              </w:rPr>
              <w:t>+7.7%</w:t>
            </w:r>
          </w:p>
        </w:tc>
        <w:tc>
          <w:tcPr>
            <w:tcW w:type="dxa" w:w="1440"/>
          </w:tcPr>
          <w:p>
            <w:r>
              <w:rPr>
                <w:rFonts w:ascii="Calibri" w:hAnsi="Calibri"/>
                <w:b/>
                <w:color w:val="30A46C"/>
                <w:sz w:val="22"/>
              </w:rPr>
              <w:t>Beat</w:t>
            </w:r>
          </w:p>
        </w:tc>
      </w:tr>
      <w:tr>
        <w:tc>
          <w:tcPr>
            <w:tcW w:type="dxa" w:w="1440"/>
          </w:tcPr>
          <w:p>
            <w:r>
              <w:rPr>
                <w:rFonts w:ascii="Calibri" w:hAnsi="Calibri"/>
                <w:sz w:val="22"/>
              </w:rPr>
              <w:t>Q1 FY25</w:t>
            </w:r>
          </w:p>
        </w:tc>
        <w:tc>
          <w:tcPr>
            <w:tcW w:type="dxa" w:w="1440"/>
          </w:tcPr>
          <w:p>
            <w:r>
              <w:rPr>
                <w:rFonts w:ascii="Calibri" w:hAnsi="Calibri"/>
                <w:sz w:val="22"/>
              </w:rPr>
              <w:t>ARR</w:t>
            </w:r>
          </w:p>
        </w:tc>
        <w:tc>
          <w:tcPr>
            <w:tcW w:type="dxa" w:w="1440"/>
          </w:tcPr>
          <w:p>
            <w:r>
              <w:rPr>
                <w:rFonts w:ascii="Calibri" w:hAnsi="Calibri"/>
                <w:sz w:val="22"/>
              </w:rPr>
              <w:t>$2,052M</w:t>
            </w:r>
          </w:p>
        </w:tc>
        <w:tc>
          <w:tcPr>
            <w:tcW w:type="dxa" w:w="1440"/>
          </w:tcPr>
          <w:p>
            <w:r>
              <w:rPr>
                <w:rFonts w:ascii="Calibri" w:hAnsi="Calibri"/>
                <w:sz w:val="22"/>
              </w:rPr>
              <w:t>$2,274M</w:t>
            </w:r>
          </w:p>
        </w:tc>
        <w:tc>
          <w:tcPr>
            <w:tcW w:type="dxa" w:w="1440"/>
          </w:tcPr>
          <w:p>
            <w:r>
              <w:rPr>
                <w:rFonts w:ascii="Calibri" w:hAnsi="Calibri"/>
                <w:sz w:val="22"/>
              </w:rPr>
              <w:t>-9.8%</w:t>
            </w:r>
          </w:p>
        </w:tc>
        <w:tc>
          <w:tcPr>
            <w:tcW w:type="dxa" w:w="1440"/>
          </w:tcPr>
          <w:p>
            <w:r>
              <w:rPr>
                <w:rFonts w:ascii="Calibri" w:hAnsi="Calibri"/>
                <w:b/>
                <w:color w:val="E5484D"/>
                <w:sz w:val="22"/>
              </w:rPr>
              <w:t>Miss</w:t>
            </w:r>
          </w:p>
        </w:tc>
      </w:tr>
      <w:tr>
        <w:tc>
          <w:tcPr>
            <w:tcW w:type="dxa" w:w="1440"/>
          </w:tcPr>
          <w:p>
            <w:r>
              <w:rPr>
                <w:rFonts w:ascii="Calibri" w:hAnsi="Calibri"/>
                <w:sz w:val="22"/>
              </w:rPr>
              <w:t>Q1 FY25</w:t>
            </w:r>
          </w:p>
        </w:tc>
        <w:tc>
          <w:tcPr>
            <w:tcW w:type="dxa" w:w="1440"/>
          </w:tcPr>
          <w:p>
            <w:r>
              <w:rPr>
                <w:rFonts w:ascii="Calibri" w:hAnsi="Calibri"/>
                <w:sz w:val="22"/>
              </w:rPr>
              <w:t>Op. EPS</w:t>
            </w:r>
          </w:p>
        </w:tc>
        <w:tc>
          <w:tcPr>
            <w:tcW w:type="dxa" w:w="1440"/>
          </w:tcPr>
          <w:p>
            <w:r>
              <w:rPr>
                <w:rFonts w:ascii="Calibri" w:hAnsi="Calibri"/>
                <w:sz w:val="22"/>
              </w:rPr>
              <w:t>$1.10</w:t>
            </w:r>
          </w:p>
        </w:tc>
        <w:tc>
          <w:tcPr>
            <w:tcW w:type="dxa" w:w="1440"/>
          </w:tcPr>
          <w:p>
            <w:r>
              <w:rPr>
                <w:rFonts w:ascii="Calibri" w:hAnsi="Calibri"/>
                <w:sz w:val="22"/>
              </w:rPr>
              <w:t>$0.90</w:t>
            </w:r>
          </w:p>
        </w:tc>
        <w:tc>
          <w:tcPr>
            <w:tcW w:type="dxa" w:w="1440"/>
          </w:tcPr>
          <w:p>
            <w:r>
              <w:rPr>
                <w:rFonts w:ascii="Calibri" w:hAnsi="Calibri"/>
                <w:sz w:val="22"/>
              </w:rPr>
              <w:t>+22.2%</w:t>
            </w:r>
          </w:p>
        </w:tc>
        <w:tc>
          <w:tcPr>
            <w:tcW w:type="dxa" w:w="1440"/>
          </w:tcPr>
          <w:p>
            <w:r>
              <w:rPr>
                <w:rFonts w:ascii="Calibri" w:hAnsi="Calibri"/>
                <w:b/>
                <w:color w:val="30A46C"/>
                <w:sz w:val="22"/>
              </w:rPr>
              <w:t>Beat</w:t>
            </w:r>
          </w:p>
        </w:tc>
      </w:tr>
      <w:tr>
        <w:tc>
          <w:tcPr>
            <w:tcW w:type="dxa" w:w="1440"/>
          </w:tcPr>
          <w:p>
            <w:r>
              <w:rPr>
                <w:rFonts w:ascii="Calibri" w:hAnsi="Calibri"/>
                <w:sz w:val="22"/>
              </w:rPr>
              <w:t>Q2 FY25</w:t>
            </w:r>
          </w:p>
        </w:tc>
        <w:tc>
          <w:tcPr>
            <w:tcW w:type="dxa" w:w="1440"/>
          </w:tcPr>
          <w:p>
            <w:r>
              <w:rPr>
                <w:rFonts w:ascii="Calibri" w:hAnsi="Calibri"/>
                <w:sz w:val="22"/>
              </w:rPr>
              <w:t>ARR</w:t>
            </w:r>
          </w:p>
        </w:tc>
        <w:tc>
          <w:tcPr>
            <w:tcW w:type="dxa" w:w="1440"/>
          </w:tcPr>
          <w:p>
            <w:r>
              <w:rPr>
                <w:rFonts w:ascii="Calibri" w:hAnsi="Calibri"/>
                <w:sz w:val="22"/>
              </w:rPr>
              <w:t>$2,136M</w:t>
            </w:r>
          </w:p>
        </w:tc>
        <w:tc>
          <w:tcPr>
            <w:tcW w:type="dxa" w:w="1440"/>
          </w:tcPr>
          <w:p>
            <w:r>
              <w:rPr>
                <w:rFonts w:ascii="Calibri" w:hAnsi="Calibri"/>
                <w:sz w:val="22"/>
              </w:rPr>
              <w:t>$2,291M</w:t>
            </w:r>
          </w:p>
        </w:tc>
        <w:tc>
          <w:tcPr>
            <w:tcW w:type="dxa" w:w="1440"/>
          </w:tcPr>
          <w:p>
            <w:r>
              <w:rPr>
                <w:rFonts w:ascii="Calibri" w:hAnsi="Calibri"/>
                <w:sz w:val="22"/>
              </w:rPr>
              <w:t>-6.8%</w:t>
            </w:r>
          </w:p>
        </w:tc>
        <w:tc>
          <w:tcPr>
            <w:tcW w:type="dxa" w:w="1440"/>
          </w:tcPr>
          <w:p>
            <w:r>
              <w:rPr>
                <w:rFonts w:ascii="Calibri" w:hAnsi="Calibri"/>
                <w:b/>
                <w:color w:val="E5484D"/>
                <w:sz w:val="22"/>
              </w:rPr>
              <w:t>Miss</w:t>
            </w:r>
          </w:p>
        </w:tc>
      </w:tr>
      <w:tr>
        <w:tc>
          <w:tcPr>
            <w:tcW w:type="dxa" w:w="1440"/>
          </w:tcPr>
          <w:p>
            <w:r>
              <w:rPr>
                <w:rFonts w:ascii="Calibri" w:hAnsi="Calibri"/>
                <w:sz w:val="22"/>
              </w:rPr>
              <w:t>Q2 FY25</w:t>
            </w:r>
          </w:p>
        </w:tc>
        <w:tc>
          <w:tcPr>
            <w:tcW w:type="dxa" w:w="1440"/>
          </w:tcPr>
          <w:p>
            <w:r>
              <w:rPr>
                <w:rFonts w:ascii="Calibri" w:hAnsi="Calibri"/>
                <w:sz w:val="22"/>
              </w:rPr>
              <w:t>Op. EPS</w:t>
            </w:r>
          </w:p>
        </w:tc>
        <w:tc>
          <w:tcPr>
            <w:tcW w:type="dxa" w:w="1440"/>
          </w:tcPr>
          <w:p>
            <w:r>
              <w:rPr>
                <w:rFonts w:ascii="Calibri" w:hAnsi="Calibri"/>
                <w:sz w:val="22"/>
              </w:rPr>
              <w:t>$1.79</w:t>
            </w:r>
          </w:p>
        </w:tc>
        <w:tc>
          <w:tcPr>
            <w:tcW w:type="dxa" w:w="1440"/>
          </w:tcPr>
          <w:p>
            <w:r>
              <w:rPr>
                <w:rFonts w:ascii="Calibri" w:hAnsi="Calibri"/>
                <w:sz w:val="22"/>
              </w:rPr>
              <w:t>$1.39</w:t>
            </w:r>
          </w:p>
        </w:tc>
        <w:tc>
          <w:tcPr>
            <w:tcW w:type="dxa" w:w="1440"/>
          </w:tcPr>
          <w:p>
            <w:r>
              <w:rPr>
                <w:rFonts w:ascii="Calibri" w:hAnsi="Calibri"/>
                <w:sz w:val="22"/>
              </w:rPr>
              <w:t>+28.8%</w:t>
            </w:r>
          </w:p>
        </w:tc>
        <w:tc>
          <w:tcPr>
            <w:tcW w:type="dxa" w:w="1440"/>
          </w:tcPr>
          <w:p>
            <w:r>
              <w:rPr>
                <w:rFonts w:ascii="Calibri" w:hAnsi="Calibri"/>
                <w:b/>
                <w:color w:val="30A46C"/>
                <w:sz w:val="22"/>
              </w:rPr>
              <w:t>Beat</w:t>
            </w:r>
          </w:p>
        </w:tc>
      </w:tr>
      <w:tr>
        <w:tc>
          <w:tcPr>
            <w:tcW w:type="dxa" w:w="1440"/>
          </w:tcPr>
          <w:p>
            <w:r>
              <w:rPr>
                <w:rFonts w:ascii="Calibri" w:hAnsi="Calibri"/>
                <w:sz w:val="22"/>
              </w:rPr>
              <w:t>Q3 FY25</w:t>
            </w:r>
          </w:p>
        </w:tc>
        <w:tc>
          <w:tcPr>
            <w:tcW w:type="dxa" w:w="1440"/>
          </w:tcPr>
          <w:p>
            <w:r>
              <w:rPr>
                <w:rFonts w:ascii="Calibri" w:hAnsi="Calibri"/>
                <w:sz w:val="22"/>
              </w:rPr>
              <w:t>ARR</w:t>
            </w:r>
          </w:p>
        </w:tc>
        <w:tc>
          <w:tcPr>
            <w:tcW w:type="dxa" w:w="1440"/>
          </w:tcPr>
          <w:p>
            <w:r>
              <w:rPr>
                <w:rFonts w:ascii="Calibri" w:hAnsi="Calibri"/>
                <w:sz w:val="22"/>
              </w:rPr>
              <w:t>$2,256M</w:t>
            </w:r>
          </w:p>
        </w:tc>
        <w:tc>
          <w:tcPr>
            <w:tcW w:type="dxa" w:w="1440"/>
          </w:tcPr>
          <w:p>
            <w:r>
              <w:rPr>
                <w:rFonts w:ascii="Calibri" w:hAnsi="Calibri"/>
                <w:sz w:val="22"/>
              </w:rPr>
              <w:t>$2,339M</w:t>
            </w:r>
          </w:p>
        </w:tc>
        <w:tc>
          <w:tcPr>
            <w:tcW w:type="dxa" w:w="1440"/>
          </w:tcPr>
          <w:p>
            <w:r>
              <w:rPr>
                <w:rFonts w:ascii="Calibri" w:hAnsi="Calibri"/>
                <w:sz w:val="22"/>
              </w:rPr>
              <w:t>-3.5%</w:t>
            </w:r>
          </w:p>
        </w:tc>
        <w:tc>
          <w:tcPr>
            <w:tcW w:type="dxa" w:w="1440"/>
          </w:tcPr>
          <w:p>
            <w:r>
              <w:rPr>
                <w:rFonts w:ascii="Calibri" w:hAnsi="Calibri"/>
                <w:b/>
                <w:color w:val="E5484D"/>
                <w:sz w:val="22"/>
              </w:rPr>
              <w:t>Miss</w:t>
            </w:r>
          </w:p>
        </w:tc>
      </w:tr>
      <w:tr>
        <w:tc>
          <w:tcPr>
            <w:tcW w:type="dxa" w:w="1440"/>
          </w:tcPr>
          <w:p>
            <w:r>
              <w:rPr>
                <w:rFonts w:ascii="Calibri" w:hAnsi="Calibri"/>
                <w:sz w:val="22"/>
              </w:rPr>
              <w:t>Q3 FY25</w:t>
            </w:r>
          </w:p>
        </w:tc>
        <w:tc>
          <w:tcPr>
            <w:tcW w:type="dxa" w:w="1440"/>
          </w:tcPr>
          <w:p>
            <w:r>
              <w:rPr>
                <w:rFonts w:ascii="Calibri" w:hAnsi="Calibri"/>
                <w:sz w:val="22"/>
              </w:rPr>
              <w:t>Op. EPS</w:t>
            </w:r>
          </w:p>
        </w:tc>
        <w:tc>
          <w:tcPr>
            <w:tcW w:type="dxa" w:w="1440"/>
          </w:tcPr>
          <w:p>
            <w:r>
              <w:rPr>
                <w:rFonts w:ascii="Calibri" w:hAnsi="Calibri"/>
                <w:sz w:val="22"/>
              </w:rPr>
              <w:t>$1.64</w:t>
            </w:r>
          </w:p>
        </w:tc>
        <w:tc>
          <w:tcPr>
            <w:tcW w:type="dxa" w:w="1440"/>
          </w:tcPr>
          <w:p>
            <w:r>
              <w:rPr>
                <w:rFonts w:ascii="Calibri" w:hAnsi="Calibri"/>
                <w:sz w:val="22"/>
              </w:rPr>
              <w:t>$1.20</w:t>
            </w:r>
          </w:p>
        </w:tc>
        <w:tc>
          <w:tcPr>
            <w:tcW w:type="dxa" w:w="1440"/>
          </w:tcPr>
          <w:p>
            <w:r>
              <w:rPr>
                <w:rFonts w:ascii="Calibri" w:hAnsi="Calibri"/>
                <w:sz w:val="22"/>
              </w:rPr>
              <w:t>+36.7%</w:t>
            </w:r>
          </w:p>
        </w:tc>
        <w:tc>
          <w:tcPr>
            <w:tcW w:type="dxa" w:w="1440"/>
          </w:tcPr>
          <w:p>
            <w:r>
              <w:rPr>
                <w:rFonts w:ascii="Calibri" w:hAnsi="Calibri"/>
                <w:b/>
                <w:color w:val="30A46C"/>
                <w:sz w:val="22"/>
              </w:rPr>
              <w:t>Beat</w:t>
            </w:r>
          </w:p>
        </w:tc>
      </w:tr>
      <w:tr>
        <w:tc>
          <w:tcPr>
            <w:tcW w:type="dxa" w:w="1440"/>
          </w:tcPr>
          <w:p>
            <w:r>
              <w:rPr>
                <w:rFonts w:ascii="Calibri" w:hAnsi="Calibri"/>
                <w:sz w:val="22"/>
              </w:rPr>
              <w:t>Q4 FY25</w:t>
            </w:r>
          </w:p>
        </w:tc>
        <w:tc>
          <w:tcPr>
            <w:tcW w:type="dxa" w:w="1440"/>
          </w:tcPr>
          <w:p>
            <w:r>
              <w:rPr>
                <w:rFonts w:ascii="Calibri" w:hAnsi="Calibri"/>
                <w:sz w:val="22"/>
              </w:rPr>
              <w:t>ARR</w:t>
            </w:r>
          </w:p>
        </w:tc>
        <w:tc>
          <w:tcPr>
            <w:tcW w:type="dxa" w:w="1440"/>
          </w:tcPr>
          <w:p>
            <w:r>
              <w:rPr>
                <w:rFonts w:ascii="Calibri" w:hAnsi="Calibri"/>
                <w:sz w:val="22"/>
              </w:rPr>
              <w:t>$2,320M</w:t>
            </w:r>
          </w:p>
        </w:tc>
        <w:tc>
          <w:tcPr>
            <w:tcW w:type="dxa" w:w="1440"/>
          </w:tcPr>
          <w:p>
            <w:r>
              <w:rPr>
                <w:rFonts w:ascii="Calibri" w:hAnsi="Calibri"/>
                <w:sz w:val="22"/>
              </w:rPr>
              <w:t>$2,469M</w:t>
            </w:r>
          </w:p>
        </w:tc>
        <w:tc>
          <w:tcPr>
            <w:tcW w:type="dxa" w:w="1440"/>
          </w:tcPr>
          <w:p>
            <w:r>
              <w:rPr>
                <w:rFonts w:ascii="Calibri" w:hAnsi="Calibri"/>
                <w:sz w:val="22"/>
              </w:rPr>
              <w:t>-6.1%</w:t>
            </w:r>
          </w:p>
        </w:tc>
        <w:tc>
          <w:tcPr>
            <w:tcW w:type="dxa" w:w="1440"/>
          </w:tcPr>
          <w:p>
            <w:r>
              <w:rPr>
                <w:rFonts w:ascii="Calibri" w:hAnsi="Calibri"/>
                <w:b/>
                <w:color w:val="E5484D"/>
                <w:sz w:val="22"/>
              </w:rPr>
              <w:t>Miss</w:t>
            </w:r>
          </w:p>
        </w:tc>
      </w:tr>
      <w:tr>
        <w:tc>
          <w:tcPr>
            <w:tcW w:type="dxa" w:w="1440"/>
          </w:tcPr>
          <w:p>
            <w:r>
              <w:rPr>
                <w:rFonts w:ascii="Calibri" w:hAnsi="Calibri"/>
                <w:sz w:val="22"/>
              </w:rPr>
              <w:t>Q4 FY25</w:t>
            </w:r>
          </w:p>
        </w:tc>
        <w:tc>
          <w:tcPr>
            <w:tcW w:type="dxa" w:w="1440"/>
          </w:tcPr>
          <w:p>
            <w:r>
              <w:rPr>
                <w:rFonts w:ascii="Calibri" w:hAnsi="Calibri"/>
                <w:sz w:val="22"/>
              </w:rPr>
              <w:t>Op. EPS</w:t>
            </w:r>
          </w:p>
        </w:tc>
        <w:tc>
          <w:tcPr>
            <w:tcW w:type="dxa" w:w="1440"/>
          </w:tcPr>
          <w:p>
            <w:r>
              <w:rPr>
                <w:rFonts w:ascii="Calibri" w:hAnsi="Calibri"/>
                <w:sz w:val="22"/>
              </w:rPr>
              <w:t>$3.41</w:t>
            </w:r>
          </w:p>
        </w:tc>
        <w:tc>
          <w:tcPr>
            <w:tcW w:type="dxa" w:w="1440"/>
          </w:tcPr>
          <w:p>
            <w:r>
              <w:rPr>
                <w:rFonts w:ascii="Calibri" w:hAnsi="Calibri"/>
                <w:sz w:val="22"/>
              </w:rPr>
              <w:t>$2.27</w:t>
            </w:r>
          </w:p>
        </w:tc>
        <w:tc>
          <w:tcPr>
            <w:tcW w:type="dxa" w:w="1440"/>
          </w:tcPr>
          <w:p>
            <w:r>
              <w:rPr>
                <w:rFonts w:ascii="Calibri" w:hAnsi="Calibri"/>
                <w:sz w:val="22"/>
              </w:rPr>
              <w:t>+50.2%</w:t>
            </w:r>
          </w:p>
        </w:tc>
        <w:tc>
          <w:tcPr>
            <w:tcW w:type="dxa" w:w="1440"/>
          </w:tcPr>
          <w:p>
            <w:r>
              <w:rPr>
                <w:rFonts w:ascii="Calibri" w:hAnsi="Calibri"/>
                <w:b/>
                <w:color w:val="30A46C"/>
                <w:sz w:val="22"/>
              </w:rPr>
              <w:t>Beat</w:t>
            </w:r>
          </w:p>
        </w:tc>
      </w:tr>
      <w:tr>
        <w:tc>
          <w:tcPr>
            <w:tcW w:type="dxa" w:w="1440"/>
          </w:tcPr>
          <w:p>
            <w:r>
              <w:rPr>
                <w:rFonts w:ascii="Calibri" w:hAnsi="Calibri"/>
                <w:sz w:val="22"/>
              </w:rPr>
              <w:t>Q1 FY26</w:t>
            </w:r>
          </w:p>
        </w:tc>
        <w:tc>
          <w:tcPr>
            <w:tcW w:type="dxa" w:w="1440"/>
          </w:tcPr>
          <w:p>
            <w:r>
              <w:rPr>
                <w:rFonts w:ascii="Calibri" w:hAnsi="Calibri"/>
                <w:sz w:val="22"/>
              </w:rPr>
              <w:t>ARR</w:t>
            </w:r>
          </w:p>
        </w:tc>
        <w:tc>
          <w:tcPr>
            <w:tcW w:type="dxa" w:w="1440"/>
          </w:tcPr>
          <w:p>
            <w:r>
              <w:rPr>
                <w:rFonts w:ascii="Calibri" w:hAnsi="Calibri"/>
                <w:sz w:val="22"/>
              </w:rPr>
              <w:t>$2,494M</w:t>
            </w:r>
          </w:p>
        </w:tc>
        <w:tc>
          <w:tcPr>
            <w:tcW w:type="dxa" w:w="1440"/>
          </w:tcPr>
          <w:p>
            <w:r>
              <w:rPr>
                <w:rFonts w:ascii="Calibri" w:hAnsi="Calibri"/>
                <w:sz w:val="22"/>
              </w:rPr>
              <w:t>$2,475M</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Q1 FY26</w:t>
            </w:r>
          </w:p>
        </w:tc>
        <w:tc>
          <w:tcPr>
            <w:tcW w:type="dxa" w:w="1440"/>
          </w:tcPr>
          <w:p>
            <w:r>
              <w:rPr>
                <w:rFonts w:ascii="Calibri" w:hAnsi="Calibri"/>
                <w:sz w:val="22"/>
              </w:rPr>
              <w:t>Op. EPS</w:t>
            </w:r>
          </w:p>
        </w:tc>
        <w:tc>
          <w:tcPr>
            <w:tcW w:type="dxa" w:w="1440"/>
          </w:tcPr>
          <w:p>
            <w:r>
              <w:rPr>
                <w:rFonts w:ascii="Calibri" w:hAnsi="Calibri"/>
                <w:sz w:val="22"/>
              </w:rPr>
              <w:t>$1.92</w:t>
            </w:r>
          </w:p>
        </w:tc>
        <w:tc>
          <w:tcPr>
            <w:tcW w:type="dxa" w:w="1440"/>
          </w:tcPr>
          <w:p>
            <w:r>
              <w:rPr>
                <w:rFonts w:ascii="Calibri" w:hAnsi="Calibri"/>
                <w:sz w:val="22"/>
              </w:rPr>
              <w:t>$1.56</w:t>
            </w:r>
          </w:p>
        </w:tc>
        <w:tc>
          <w:tcPr>
            <w:tcW w:type="dxa" w:w="1440"/>
          </w:tcPr>
          <w:p>
            <w:r>
              <w:rPr>
                <w:rFonts w:ascii="Calibri" w:hAnsi="Calibri"/>
                <w:sz w:val="22"/>
              </w:rPr>
              <w:t>+23.1%</w:t>
            </w:r>
          </w:p>
        </w:tc>
        <w:tc>
          <w:tcPr>
            <w:tcW w:type="dxa" w:w="1440"/>
          </w:tcPr>
          <w:p>
            <w:r>
              <w:rPr>
                <w:rFonts w:ascii="Calibri" w:hAnsi="Calibri"/>
                <w:b/>
                <w:color w:val="30A46C"/>
                <w:sz w:val="22"/>
              </w:rPr>
              <w:t>Beat</w:t>
            </w:r>
          </w:p>
        </w:tc>
      </w:tr>
      <w:tr>
        <w:tc>
          <w:tcPr>
            <w:tcW w:type="dxa" w:w="1440"/>
          </w:tcPr>
          <w:p>
            <w:r>
              <w:rPr>
                <w:rFonts w:ascii="Calibri" w:hAnsi="Calibri"/>
                <w:sz w:val="22"/>
              </w:rPr>
              <w:t>Q2 FY26</w:t>
            </w:r>
          </w:p>
        </w:tc>
        <w:tc>
          <w:tcPr>
            <w:tcW w:type="dxa" w:w="1440"/>
          </w:tcPr>
          <w:p>
            <w:r>
              <w:rPr>
                <w:rFonts w:ascii="Calibri" w:hAnsi="Calibri"/>
                <w:sz w:val="22"/>
              </w:rPr>
              <w:t>ARR</w:t>
            </w:r>
          </w:p>
        </w:tc>
        <w:tc>
          <w:tcPr>
            <w:tcW w:type="dxa" w:w="1440"/>
          </w:tcPr>
          <w:p>
            <w:r>
              <w:rPr>
                <w:rFonts w:ascii="Calibri" w:hAnsi="Calibri"/>
                <w:sz w:val="22"/>
              </w:rPr>
              <w:t>$2,365M</w:t>
            </w:r>
          </w:p>
        </w:tc>
        <w:tc>
          <w:tcPr>
            <w:tcW w:type="dxa" w:w="1440"/>
          </w:tcPr>
          <w:p>
            <w:r>
              <w:rPr>
                <w:rFonts w:ascii="Calibri" w:hAnsi="Calibri"/>
                <w:sz w:val="22"/>
              </w:rPr>
              <w:t>$2,481M</w:t>
            </w:r>
          </w:p>
        </w:tc>
        <w:tc>
          <w:tcPr>
            <w:tcW w:type="dxa" w:w="1440"/>
          </w:tcPr>
          <w:p>
            <w:r>
              <w:rPr>
                <w:rFonts w:ascii="Calibri" w:hAnsi="Calibri"/>
                <w:sz w:val="22"/>
              </w:rPr>
              <w:t>-4.7%</w:t>
            </w:r>
          </w:p>
        </w:tc>
        <w:tc>
          <w:tcPr>
            <w:tcW w:type="dxa" w:w="1440"/>
          </w:tcPr>
          <w:p>
            <w:r>
              <w:rPr>
                <w:rFonts w:ascii="Calibri" w:hAnsi="Calibri"/>
                <w:b/>
                <w:color w:val="E5484D"/>
                <w:sz w:val="22"/>
              </w:rPr>
              <w:t>Miss</w:t>
            </w:r>
          </w:p>
        </w:tc>
      </w:tr>
      <w:tr>
        <w:tc>
          <w:tcPr>
            <w:tcW w:type="dxa" w:w="1440"/>
          </w:tcPr>
          <w:p>
            <w:r>
              <w:rPr>
                <w:rFonts w:ascii="Calibri" w:hAnsi="Calibri"/>
                <w:sz w:val="22"/>
              </w:rPr>
              <w:t>Q2 FY26</w:t>
            </w:r>
          </w:p>
        </w:tc>
        <w:tc>
          <w:tcPr>
            <w:tcW w:type="dxa" w:w="1440"/>
          </w:tcPr>
          <w:p>
            <w:r>
              <w:rPr>
                <w:rFonts w:ascii="Calibri" w:hAnsi="Calibri"/>
                <w:sz w:val="22"/>
              </w:rPr>
              <w:t>Op. EPS</w:t>
            </w:r>
          </w:p>
        </w:tc>
        <w:tc>
          <w:tcPr>
            <w:tcW w:type="dxa" w:w="1440"/>
          </w:tcPr>
          <w:p>
            <w:r>
              <w:rPr>
                <w:rFonts w:ascii="Calibri" w:hAnsi="Calibri"/>
                <w:sz w:val="22"/>
              </w:rPr>
              <w:t>$2.69</w:t>
            </w:r>
          </w:p>
        </w:tc>
        <w:tc>
          <w:tcPr>
            <w:tcW w:type="dxa" w:w="1440"/>
          </w:tcPr>
          <w:p>
            <w:r>
              <w:rPr>
                <w:rFonts w:ascii="Calibri" w:hAnsi="Calibri"/>
                <w:sz w:val="22"/>
              </w:rPr>
              <w:t>$2.12</w:t>
            </w:r>
          </w:p>
        </w:tc>
        <w:tc>
          <w:tcPr>
            <w:tcW w:type="dxa" w:w="1440"/>
          </w:tcPr>
          <w:p>
            <w:r>
              <w:rPr>
                <w:rFonts w:ascii="Calibri" w:hAnsi="Calibri"/>
                <w:sz w:val="22"/>
              </w:rPr>
              <w:t>+26.9%</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PTC has consistently beaten on operating EPS (8 for 8 over the last 8 quarters), often by wide margins driven by revenue mix and buybacks. ARR has been more volatile — missing consensus in 5 of the last 8 quarters, largely because consensus was set too high relative to guidance during the go-to-market transition period. With consensus now tracking closer to guidance midpoints, the ARR beat/miss dynamic should be more balanced. Note: Q1 FY25 and Q2 FY25 ARR misses reflect the go-to-market transition headwinds and deferred ARR accounting; Q1 FY26 and Q2 FY26 reflect the new reporting structure post-divestiture.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has been stable since Q2 earnings with no post-earnings revisions to ARR or FCF ranges. Management's tone has shifted from cautiously constructive to </w:t>
      </w:r>
      <w:r>
        <w:rPr>
          <w:rFonts w:ascii="Calibri" w:hAnsi="Calibri"/>
          <w:b/>
          <w:color w:val="525866"/>
          <w:sz w:val="22"/>
        </w:rPr>
        <w:t>increasingly confident</w:t>
      </w:r>
      <w:r>
        <w:rPr>
          <w:rFonts w:ascii="Calibri" w:hAnsi="Calibri"/>
          <w:color w:val="525866"/>
          <w:sz w:val="22"/>
        </w:rPr>
        <w:t>, with the JP Morgan conference in May reinforcing conviction around deferred ARR visibility and vertical demand strength.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FY26 CC ARR Growth (ex-divestitures)</w:t>
            </w:r>
          </w:p>
        </w:tc>
        <w:tc>
          <w:tcPr>
            <w:tcW w:type="dxa" w:w="1728"/>
          </w:tcPr>
          <w:p>
            <w:r>
              <w:rPr>
                <w:rFonts w:ascii="Calibri" w:hAnsi="Calibri"/>
                <w:sz w:val="22"/>
              </w:rPr>
              <w:t>8%–9%</w:t>
            </w:r>
          </w:p>
        </w:tc>
        <w:tc>
          <w:tcPr>
            <w:tcW w:type="dxa" w:w="1728"/>
          </w:tcPr>
          <w:p>
            <w:r>
              <w:rPr>
                <w:rFonts w:ascii="Calibri" w:hAnsi="Calibri"/>
                <w:sz w:val="22"/>
              </w:rPr>
              <w:t>—</w:t>
            </w:r>
          </w:p>
        </w:tc>
        <w:tc>
          <w:tcPr>
            <w:tcW w:type="dxa" w:w="1728"/>
          </w:tcPr>
          <w:p>
            <w:r>
              <w:rPr>
                <w:rFonts w:ascii="Calibri" w:hAnsi="Calibri"/>
                <w:sz w:val="22"/>
              </w:rPr>
              <w:t>~8.9% (implied by $2,462M consensus)</w:t>
            </w:r>
          </w:p>
        </w:tc>
        <w:tc>
          <w:tcPr>
            <w:tcW w:type="dxa" w:w="1728"/>
          </w:tcPr>
          <w:p>
            <w:r>
              <w:rPr>
                <w:rFonts w:ascii="Calibri" w:hAnsi="Calibri"/>
                <w:sz w:val="22"/>
              </w:rPr>
              <w:t>Unchanged; consensus tracking near top of range</w:t>
            </w:r>
          </w:p>
        </w:tc>
      </w:tr>
      <w:tr>
        <w:tc>
          <w:tcPr>
            <w:tcW w:type="dxa" w:w="1728"/>
          </w:tcPr>
          <w:p>
            <w:r>
              <w:rPr>
                <w:rFonts w:ascii="Calibri" w:hAnsi="Calibri"/>
                <w:sz w:val="22"/>
              </w:rPr>
              <w:t>Q3 FY26 Net New ARR</w:t>
            </w:r>
          </w:p>
        </w:tc>
        <w:tc>
          <w:tcPr>
            <w:tcW w:type="dxa" w:w="1728"/>
          </w:tcPr>
          <w:p>
            <w:r>
              <w:rPr>
                <w:rFonts w:ascii="Calibri" w:hAnsi="Calibri"/>
                <w:sz w:val="22"/>
              </w:rPr>
              <w:t>$40M–$55M (implied)</w:t>
            </w:r>
          </w:p>
        </w:tc>
        <w:tc>
          <w:tcPr>
            <w:tcW w:type="dxa" w:w="1728"/>
          </w:tcPr>
          <w:p>
            <w:r>
              <w:rPr>
                <w:rFonts w:ascii="Calibri" w:hAnsi="Calibri"/>
                <w:sz w:val="22"/>
              </w:rPr>
              <w:t>—</w:t>
            </w:r>
          </w:p>
        </w:tc>
        <w:tc>
          <w:tcPr>
            <w:tcW w:type="dxa" w:w="1728"/>
          </w:tcPr>
          <w:p>
            <w:r>
              <w:rPr>
                <w:rFonts w:ascii="Calibri" w:hAnsi="Calibri"/>
                <w:sz w:val="22"/>
              </w:rPr>
              <w:t>$47.9M</w:t>
            </w:r>
          </w:p>
        </w:tc>
        <w:tc>
          <w:tcPr>
            <w:tcW w:type="dxa" w:w="1728"/>
          </w:tcPr>
          <w:p>
            <w:r>
              <w:rPr>
                <w:rFonts w:ascii="Calibri" w:hAnsi="Calibri"/>
                <w:sz w:val="22"/>
              </w:rPr>
              <w:t>Unchanged; consensus at midpoint</w:t>
            </w:r>
          </w:p>
        </w:tc>
      </w:tr>
      <w:tr>
        <w:tc>
          <w:tcPr>
            <w:tcW w:type="dxa" w:w="1728"/>
          </w:tcPr>
          <w:p>
            <w:r>
              <w:rPr>
                <w:rFonts w:ascii="Calibri" w:hAnsi="Calibri"/>
                <w:sz w:val="22"/>
              </w:rPr>
              <w:t>Q3 FY26 Revenue</w:t>
            </w:r>
          </w:p>
        </w:tc>
        <w:tc>
          <w:tcPr>
            <w:tcW w:type="dxa" w:w="1728"/>
          </w:tcPr>
          <w:p>
            <w:r>
              <w:rPr>
                <w:rFonts w:ascii="Calibri" w:hAnsi="Calibri"/>
                <w:sz w:val="22"/>
              </w:rPr>
              <w:t>$580M–$640M</w:t>
            </w:r>
          </w:p>
        </w:tc>
        <w:tc>
          <w:tcPr>
            <w:tcW w:type="dxa" w:w="1728"/>
          </w:tcPr>
          <w:p>
            <w:r>
              <w:rPr>
                <w:rFonts w:ascii="Calibri" w:hAnsi="Calibri"/>
                <w:sz w:val="22"/>
              </w:rPr>
              <w:t>—</w:t>
            </w:r>
          </w:p>
        </w:tc>
        <w:tc>
          <w:tcPr>
            <w:tcW w:type="dxa" w:w="1728"/>
          </w:tcPr>
          <w:p>
            <w:r>
              <w:rPr>
                <w:rFonts w:ascii="Calibri" w:hAnsi="Calibri"/>
                <w:sz w:val="22"/>
              </w:rPr>
              <w:t>$608M</w:t>
            </w:r>
          </w:p>
        </w:tc>
        <w:tc>
          <w:tcPr>
            <w:tcW w:type="dxa" w:w="1728"/>
          </w:tcPr>
          <w:p>
            <w:r>
              <w:rPr>
                <w:rFonts w:ascii="Calibri" w:hAnsi="Calibri"/>
                <w:sz w:val="22"/>
              </w:rPr>
              <w:t>Unchanged; consensus near midpoint; Q2 benefited from longer-duration renewals not expected to repeat</w:t>
            </w:r>
          </w:p>
        </w:tc>
      </w:tr>
      <w:tr>
        <w:tc>
          <w:tcPr>
            <w:tcW w:type="dxa" w:w="1728"/>
          </w:tcPr>
          <w:p>
            <w:r>
              <w:rPr>
                <w:rFonts w:ascii="Calibri" w:hAnsi="Calibri"/>
                <w:sz w:val="22"/>
              </w:rPr>
              <w:t>Q3 FY26 Non-GAAP EPS</w:t>
            </w:r>
          </w:p>
        </w:tc>
        <w:tc>
          <w:tcPr>
            <w:tcW w:type="dxa" w:w="1728"/>
          </w:tcPr>
          <w:p>
            <w:r>
              <w:rPr>
                <w:rFonts w:ascii="Calibri" w:hAnsi="Calibri"/>
                <w:sz w:val="22"/>
              </w:rPr>
              <w:t>$1.24–$1.78</w:t>
            </w:r>
          </w:p>
        </w:tc>
        <w:tc>
          <w:tcPr>
            <w:tcW w:type="dxa" w:w="1728"/>
          </w:tcPr>
          <w:p>
            <w:r>
              <w:rPr>
                <w:rFonts w:ascii="Calibri" w:hAnsi="Calibri"/>
                <w:sz w:val="22"/>
              </w:rPr>
              <w:t>—</w:t>
            </w:r>
          </w:p>
        </w:tc>
        <w:tc>
          <w:tcPr>
            <w:tcW w:type="dxa" w:w="1728"/>
          </w:tcPr>
          <w:p>
            <w:r>
              <w:rPr>
                <w:rFonts w:ascii="Calibri" w:hAnsi="Calibri"/>
                <w:sz w:val="22"/>
              </w:rPr>
              <w:t>$1.54</w:t>
            </w:r>
          </w:p>
        </w:tc>
        <w:tc>
          <w:tcPr>
            <w:tcW w:type="dxa" w:w="1728"/>
          </w:tcPr>
          <w:p>
            <w:r>
              <w:rPr>
                <w:rFonts w:ascii="Calibri" w:hAnsi="Calibri"/>
                <w:sz w:val="22"/>
              </w:rPr>
              <w:t>Unchanged; consensus slightly below midpoint; wide range reflects revenue mix uncertainty</w:t>
            </w:r>
          </w:p>
        </w:tc>
      </w:tr>
      <w:tr>
        <w:tc>
          <w:tcPr>
            <w:tcW w:type="dxa" w:w="1728"/>
          </w:tcPr>
          <w:p>
            <w:r>
              <w:rPr>
                <w:rFonts w:ascii="Calibri" w:hAnsi="Calibri"/>
                <w:sz w:val="22"/>
              </w:rPr>
              <w:t>Q3 FY26 Free Cash Flow</w:t>
            </w:r>
          </w:p>
        </w:tc>
        <w:tc>
          <w:tcPr>
            <w:tcW w:type="dxa" w:w="1728"/>
          </w:tcPr>
          <w:p>
            <w:r>
              <w:rPr>
                <w:rFonts w:ascii="Calibri" w:hAnsi="Calibri"/>
                <w:sz w:val="22"/>
              </w:rPr>
              <w:t>$240M–$245M</w:t>
            </w:r>
          </w:p>
        </w:tc>
        <w:tc>
          <w:tcPr>
            <w:tcW w:type="dxa" w:w="1728"/>
          </w:tcPr>
          <w:p>
            <w:r>
              <w:rPr>
                <w:rFonts w:ascii="Calibri" w:hAnsi="Calibri"/>
                <w:sz w:val="22"/>
              </w:rPr>
              <w:t>—</w:t>
            </w:r>
          </w:p>
        </w:tc>
        <w:tc>
          <w:tcPr>
            <w:tcW w:type="dxa" w:w="1728"/>
          </w:tcPr>
          <w:p>
            <w:r>
              <w:rPr>
                <w:rFonts w:ascii="Calibri" w:hAnsi="Calibri"/>
                <w:sz w:val="22"/>
              </w:rPr>
              <w:t>$247M</w:t>
            </w:r>
          </w:p>
        </w:tc>
        <w:tc>
          <w:tcPr>
            <w:tcW w:type="dxa" w:w="1728"/>
          </w:tcPr>
          <w:p>
            <w:r>
              <w:rPr>
                <w:rFonts w:ascii="Calibri" w:hAnsi="Calibri"/>
                <w:sz w:val="22"/>
              </w:rPr>
              <w:t>Unchanged; consensus slightly above top of range</w:t>
            </w:r>
          </w:p>
        </w:tc>
      </w:tr>
      <w:tr>
        <w:tc>
          <w:tcPr>
            <w:tcW w:type="dxa" w:w="1728"/>
          </w:tcPr>
          <w:p>
            <w:r>
              <w:rPr>
                <w:rFonts w:ascii="Calibri" w:hAnsi="Calibri"/>
                <w:sz w:val="22"/>
              </w:rPr>
              <w:t>FY26 CC ARR Growth (ex-divestitures)</w:t>
            </w:r>
          </w:p>
        </w:tc>
        <w:tc>
          <w:tcPr>
            <w:tcW w:type="dxa" w:w="1728"/>
          </w:tcPr>
          <w:p>
            <w:r>
              <w:rPr>
                <w:rFonts w:ascii="Calibri" w:hAnsi="Calibri"/>
                <w:sz w:val="22"/>
              </w:rPr>
              <w:t>7.5%–9.5%</w:t>
            </w:r>
          </w:p>
        </w:tc>
        <w:tc>
          <w:tcPr>
            <w:tcW w:type="dxa" w:w="1728"/>
          </w:tcPr>
          <w:p>
            <w:r>
              <w:rPr>
                <w:rFonts w:ascii="Calibri" w:hAnsi="Calibri"/>
                <w:sz w:val="22"/>
              </w:rPr>
              <w:t>—</w:t>
            </w:r>
          </w:p>
        </w:tc>
        <w:tc>
          <w:tcPr>
            <w:tcW w:type="dxa" w:w="1728"/>
          </w:tcPr>
          <w:p>
            <w:r>
              <w:rPr>
                <w:rFonts w:ascii="Calibri" w:hAnsi="Calibri"/>
                <w:sz w:val="22"/>
              </w:rPr>
              <w:t>~8.5% (implied by $2,541M consensus)</w:t>
            </w:r>
          </w:p>
        </w:tc>
        <w:tc>
          <w:tcPr>
            <w:tcW w:type="dxa" w:w="1728"/>
          </w:tcPr>
          <w:p>
            <w:r>
              <w:rPr>
                <w:rFonts w:ascii="Calibri" w:hAnsi="Calibri"/>
                <w:sz w:val="22"/>
              </w:rPr>
              <w:t>Unchanged; management de-risked lower end; consensus at midpoint</w:t>
            </w:r>
          </w:p>
        </w:tc>
      </w:tr>
      <w:tr>
        <w:tc>
          <w:tcPr>
            <w:tcW w:type="dxa" w:w="1728"/>
          </w:tcPr>
          <w:p>
            <w:r>
              <w:rPr>
                <w:rFonts w:ascii="Calibri" w:hAnsi="Calibri"/>
                <w:sz w:val="22"/>
              </w:rPr>
              <w:t>FY26 Revenue</w:t>
            </w:r>
          </w:p>
        </w:tc>
        <w:tc>
          <w:tcPr>
            <w:tcW w:type="dxa" w:w="1728"/>
          </w:tcPr>
          <w:p>
            <w:r>
              <w:rPr>
                <w:rFonts w:ascii="Calibri" w:hAnsi="Calibri"/>
                <w:sz w:val="22"/>
              </w:rPr>
              <w:t>$2,580M–$2,820M (raised at Q2)</w:t>
            </w:r>
          </w:p>
        </w:tc>
        <w:tc>
          <w:tcPr>
            <w:tcW w:type="dxa" w:w="1728"/>
          </w:tcPr>
          <w:p>
            <w:r>
              <w:rPr>
                <w:rFonts w:ascii="Calibri" w:hAnsi="Calibri"/>
                <w:sz w:val="22"/>
              </w:rPr>
              <w:t>—</w:t>
            </w:r>
          </w:p>
        </w:tc>
        <w:tc>
          <w:tcPr>
            <w:tcW w:type="dxa" w:w="1728"/>
          </w:tcPr>
          <w:p>
            <w:r>
              <w:rPr>
                <w:rFonts w:ascii="Calibri" w:hAnsi="Calibri"/>
                <w:sz w:val="22"/>
              </w:rPr>
              <w:t>$2,720M</w:t>
            </w:r>
          </w:p>
        </w:tc>
        <w:tc>
          <w:tcPr>
            <w:tcW w:type="dxa" w:w="1728"/>
          </w:tcPr>
          <w:p>
            <w:r>
              <w:rPr>
                <w:rFonts w:ascii="Calibri" w:hAnsi="Calibri"/>
                <w:sz w:val="22"/>
              </w:rPr>
              <w:t>↑ Raised at Q2 FY26 earnings May 6, 2026; reflects Q2 duration-driven upside and FX tailwind</w:t>
            </w:r>
          </w:p>
        </w:tc>
      </w:tr>
      <w:tr>
        <w:tc>
          <w:tcPr>
            <w:tcW w:type="dxa" w:w="1728"/>
          </w:tcPr>
          <w:p>
            <w:r>
              <w:rPr>
                <w:rFonts w:ascii="Calibri" w:hAnsi="Calibri"/>
                <w:sz w:val="22"/>
              </w:rPr>
              <w:t>FY26 Non-GAAP EPS</w:t>
            </w:r>
          </w:p>
        </w:tc>
        <w:tc>
          <w:tcPr>
            <w:tcW w:type="dxa" w:w="1728"/>
          </w:tcPr>
          <w:p>
            <w:r>
              <w:rPr>
                <w:rFonts w:ascii="Calibri" w:hAnsi="Calibri"/>
                <w:sz w:val="22"/>
              </w:rPr>
              <w:t>$6.65–$8.90 (raised at Q2)</w:t>
            </w:r>
          </w:p>
        </w:tc>
        <w:tc>
          <w:tcPr>
            <w:tcW w:type="dxa" w:w="1728"/>
          </w:tcPr>
          <w:p>
            <w:r>
              <w:rPr>
                <w:rFonts w:ascii="Calibri" w:hAnsi="Calibri"/>
                <w:sz w:val="22"/>
              </w:rPr>
              <w:t>—</w:t>
            </w:r>
          </w:p>
        </w:tc>
        <w:tc>
          <w:tcPr>
            <w:tcW w:type="dxa" w:w="1728"/>
          </w:tcPr>
          <w:p>
            <w:r>
              <w:rPr>
                <w:rFonts w:ascii="Calibri" w:hAnsi="Calibri"/>
                <w:sz w:val="22"/>
              </w:rPr>
              <w:t>$7.95</w:t>
            </w:r>
          </w:p>
        </w:tc>
        <w:tc>
          <w:tcPr>
            <w:tcW w:type="dxa" w:w="1728"/>
          </w:tcPr>
          <w:p>
            <w:r>
              <w:rPr>
                <w:rFonts w:ascii="Calibri" w:hAnsi="Calibri"/>
                <w:sz w:val="22"/>
              </w:rPr>
              <w:t>↑ Raised at Q2 FY26 earnings May 6, 2026; wide range reflects revenue mix uncertainty</w:t>
            </w:r>
          </w:p>
        </w:tc>
      </w:tr>
      <w:tr>
        <w:tc>
          <w:tcPr>
            <w:tcW w:type="dxa" w:w="1728"/>
          </w:tcPr>
          <w:p>
            <w:r>
              <w:rPr>
                <w:rFonts w:ascii="Calibri" w:hAnsi="Calibri"/>
                <w:sz w:val="22"/>
              </w:rPr>
              <w:t>FY26 Free Cash Flow</w:t>
            </w:r>
          </w:p>
        </w:tc>
        <w:tc>
          <w:tcPr>
            <w:tcW w:type="dxa" w:w="1728"/>
          </w:tcPr>
          <w:p>
            <w:r>
              <w:rPr>
                <w:rFonts w:ascii="Calibri" w:hAnsi="Calibri"/>
                <w:sz w:val="22"/>
              </w:rPr>
              <w:t>~$850M (normalized baseline ~$950M for FY27 modeling)</w:t>
            </w:r>
          </w:p>
        </w:tc>
        <w:tc>
          <w:tcPr>
            <w:tcW w:type="dxa" w:w="1728"/>
          </w:tcPr>
          <w:p>
            <w:r>
              <w:rPr>
                <w:rFonts w:ascii="Calibri" w:hAnsi="Calibri"/>
                <w:sz w:val="22"/>
              </w:rPr>
              <w:t>—</w:t>
            </w:r>
          </w:p>
        </w:tc>
        <w:tc>
          <w:tcPr>
            <w:tcW w:type="dxa" w:w="1728"/>
          </w:tcPr>
          <w:p>
            <w:r>
              <w:rPr>
                <w:rFonts w:ascii="Calibri" w:hAnsi="Calibri"/>
                <w:sz w:val="22"/>
              </w:rPr>
              <w:t>$852M</w:t>
            </w:r>
          </w:p>
        </w:tc>
        <w:tc>
          <w:tcPr>
            <w:tcW w:type="dxa" w:w="1728"/>
          </w:tcPr>
          <w:p>
            <w:r>
              <w:rPr>
                <w:rFonts w:ascii="Calibri" w:hAnsi="Calibri"/>
                <w:sz w:val="22"/>
              </w:rPr>
              <w:t>Unchanged; ~$100M of non-recurring divestiture items embedded; management provided $950M as FY27 baseline</w:t>
            </w:r>
          </w:p>
        </w:tc>
      </w:tr>
    </w:tbl>
    <w:p>
      <w:r>
        <w:rPr>
          <w:rFonts w:ascii="Calibri" w:hAnsi="Calibri"/>
          <w:i/>
          <w:color w:val="525866"/>
          <w:sz w:val="22"/>
        </w:rPr>
        <w:t>Source: PTC Q2 FY2026 Earnings Release and Earnings Call Transcript (May 6, 2026); PTC JP Morgan Conference Transcript (May 19, 2026); Visible Alpha Consensus Data.</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Q2 earnings, tracking guidance rather than diverging. </w:t>
      </w:r>
      <w:r>
        <w:rPr>
          <w:rFonts w:ascii="Calibri" w:hAnsi="Calibri"/>
          <w:b/>
          <w:color w:val="525866"/>
          <w:sz w:val="22"/>
        </w:rPr>
        <w:t>The gap between consensus and guidance midpoints is narrow across all KPIs</w:t>
      </w:r>
      <w:r>
        <w:rPr>
          <w:rFonts w:ascii="Calibri" w:hAnsi="Calibri"/>
          <w:color w:val="525866"/>
          <w:sz w:val="22"/>
        </w:rPr>
        <w:t>, suggesting the street is not pricing in meaningful upside or downside — a setup where any beat on ARR or FCF could drive a positive reaction given the stock's compressed multiple.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(May 13,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ARR — Q3 FY26</w:t>
            </w:r>
          </w:p>
        </w:tc>
        <w:tc>
          <w:tcPr>
            <w:tcW w:type="dxa" w:w="1080"/>
          </w:tcPr>
          <w:p>
            <w:r>
              <w:rPr>
                <w:rFonts w:ascii="Calibri" w:hAnsi="Calibri"/>
                <w:sz w:val="22"/>
              </w:rPr>
              <w:t>$2,464M</w:t>
            </w:r>
          </w:p>
        </w:tc>
        <w:tc>
          <w:tcPr>
            <w:tcW w:type="dxa" w:w="1080"/>
          </w:tcPr>
          <w:p>
            <w:r>
              <w:rPr>
                <w:rFonts w:ascii="Calibri" w:hAnsi="Calibri"/>
                <w:sz w:val="22"/>
              </w:rPr>
              <w:t>$2,462M</w:t>
            </w:r>
          </w:p>
        </w:tc>
        <w:tc>
          <w:tcPr>
            <w:tcW w:type="dxa" w:w="1080"/>
          </w:tcPr>
          <w:p>
            <w:r>
              <w:rPr>
                <w:rFonts w:ascii="Calibri" w:hAnsi="Calibri"/>
                <w:sz w:val="22"/>
              </w:rPr>
              <w:t>-0.1%</w:t>
            </w:r>
          </w:p>
        </w:tc>
        <w:tc>
          <w:tcPr>
            <w:tcW w:type="dxa" w:w="1080"/>
          </w:tcPr>
          <w:p>
            <w:r>
              <w:rPr>
                <w:rFonts w:ascii="Calibri" w:hAnsi="Calibri"/>
                <w:sz w:val="22"/>
              </w:rPr>
              <w:t>8%–9%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ARR — FY26</w:t>
            </w:r>
          </w:p>
        </w:tc>
        <w:tc>
          <w:tcPr>
            <w:tcW w:type="dxa" w:w="1080"/>
          </w:tcPr>
          <w:p>
            <w:r>
              <w:rPr>
                <w:rFonts w:ascii="Calibri" w:hAnsi="Calibri"/>
                <w:sz w:val="22"/>
              </w:rPr>
              <w:t>$2,546M</w:t>
            </w:r>
          </w:p>
        </w:tc>
        <w:tc>
          <w:tcPr>
            <w:tcW w:type="dxa" w:w="1080"/>
          </w:tcPr>
          <w:p>
            <w:r>
              <w:rPr>
                <w:rFonts w:ascii="Calibri" w:hAnsi="Calibri"/>
                <w:sz w:val="22"/>
              </w:rPr>
              <w:t>$2,541M</w:t>
            </w:r>
          </w:p>
        </w:tc>
        <w:tc>
          <w:tcPr>
            <w:tcW w:type="dxa" w:w="1080"/>
          </w:tcPr>
          <w:p>
            <w:r>
              <w:rPr>
                <w:rFonts w:ascii="Calibri" w:hAnsi="Calibri"/>
                <w:sz w:val="22"/>
              </w:rPr>
              <w:t>-0.2%</w:t>
            </w:r>
          </w:p>
        </w:tc>
        <w:tc>
          <w:tcPr>
            <w:tcW w:type="dxa" w:w="1080"/>
          </w:tcPr>
          <w:p>
            <w:r>
              <w:rPr>
                <w:rFonts w:ascii="Calibri" w:hAnsi="Calibri"/>
                <w:sz w:val="22"/>
              </w:rPr>
              <w:t>7.5%–9.5%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midpoint</w:t>
            </w:r>
          </w:p>
        </w:tc>
      </w:tr>
      <w:tr>
        <w:tc>
          <w:tcPr>
            <w:tcW w:type="dxa" w:w="1080"/>
          </w:tcPr>
          <w:p>
            <w:r>
              <w:rPr>
                <w:rFonts w:ascii="Calibri" w:hAnsi="Calibri"/>
                <w:sz w:val="22"/>
              </w:rPr>
              <w:t>Op. EPS — Q3 FY26</w:t>
            </w:r>
          </w:p>
        </w:tc>
        <w:tc>
          <w:tcPr>
            <w:tcW w:type="dxa" w:w="1080"/>
          </w:tcPr>
          <w:p>
            <w:r>
              <w:rPr>
                <w:rFonts w:ascii="Calibri" w:hAnsi="Calibri"/>
                <w:sz w:val="22"/>
              </w:rPr>
              <w:t>$1.57</w:t>
            </w:r>
          </w:p>
        </w:tc>
        <w:tc>
          <w:tcPr>
            <w:tcW w:type="dxa" w:w="1080"/>
          </w:tcPr>
          <w:p>
            <w:r>
              <w:rPr>
                <w:rFonts w:ascii="Calibri" w:hAnsi="Calibri"/>
                <w:sz w:val="22"/>
              </w:rPr>
              <w:t>$1.54</w:t>
            </w:r>
          </w:p>
        </w:tc>
        <w:tc>
          <w:tcPr>
            <w:tcW w:type="dxa" w:w="1080"/>
          </w:tcPr>
          <w:p>
            <w:r>
              <w:rPr>
                <w:rFonts w:ascii="Calibri" w:hAnsi="Calibri"/>
                <w:sz w:val="22"/>
              </w:rPr>
              <w:t>-1.9%</w:t>
            </w:r>
          </w:p>
        </w:tc>
        <w:tc>
          <w:tcPr>
            <w:tcW w:type="dxa" w:w="1080"/>
          </w:tcPr>
          <w:p>
            <w:r>
              <w:rPr>
                <w:rFonts w:ascii="Calibri" w:hAnsi="Calibri"/>
                <w:sz w:val="22"/>
              </w:rPr>
              <w:t>$1.24–$1.78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 below midpoint</w:t>
            </w:r>
          </w:p>
        </w:tc>
      </w:tr>
      <w:tr>
        <w:tc>
          <w:tcPr>
            <w:tcW w:type="dxa" w:w="1080"/>
          </w:tcPr>
          <w:p>
            <w:r>
              <w:rPr>
                <w:rFonts w:ascii="Calibri" w:hAnsi="Calibri"/>
                <w:sz w:val="22"/>
              </w:rPr>
              <w:t>Op. EPS — FY26</w:t>
            </w:r>
          </w:p>
        </w:tc>
        <w:tc>
          <w:tcPr>
            <w:tcW w:type="dxa" w:w="1080"/>
          </w:tcPr>
          <w:p>
            <w:r>
              <w:rPr>
                <w:rFonts w:ascii="Calibri" w:hAnsi="Calibri"/>
                <w:sz w:val="22"/>
              </w:rPr>
              <w:t>$7.91</w:t>
            </w:r>
          </w:p>
        </w:tc>
        <w:tc>
          <w:tcPr>
            <w:tcW w:type="dxa" w:w="1080"/>
          </w:tcPr>
          <w:p>
            <w:r>
              <w:rPr>
                <w:rFonts w:ascii="Calibri" w:hAnsi="Calibri"/>
                <w:sz w:val="22"/>
              </w:rPr>
              <w:t>$7.95</w:t>
            </w:r>
          </w:p>
        </w:tc>
        <w:tc>
          <w:tcPr>
            <w:tcW w:type="dxa" w:w="1080"/>
          </w:tcPr>
          <w:p>
            <w:r>
              <w:rPr>
                <w:rFonts w:ascii="Calibri" w:hAnsi="Calibri"/>
                <w:sz w:val="22"/>
              </w:rPr>
              <w:t>+0.5%</w:t>
            </w:r>
          </w:p>
        </w:tc>
        <w:tc>
          <w:tcPr>
            <w:tcW w:type="dxa" w:w="1080"/>
          </w:tcPr>
          <w:p>
            <w:r>
              <w:rPr>
                <w:rFonts w:ascii="Calibri" w:hAnsi="Calibri"/>
                <w:sz w:val="22"/>
              </w:rPr>
              <w:t>$6.65–$8.90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 below midpoint</w:t>
            </w:r>
          </w:p>
        </w:tc>
      </w:tr>
      <w:tr>
        <w:tc>
          <w:tcPr>
            <w:tcW w:type="dxa" w:w="1080"/>
          </w:tcPr>
          <w:p>
            <w:r>
              <w:rPr>
                <w:rFonts w:ascii="Calibri" w:hAnsi="Calibri"/>
                <w:sz w:val="22"/>
              </w:rPr>
              <w:t>Revenue — Q3 FY26</w:t>
            </w:r>
          </w:p>
        </w:tc>
        <w:tc>
          <w:tcPr>
            <w:tcW w:type="dxa" w:w="1080"/>
          </w:tcPr>
          <w:p>
            <w:r>
              <w:rPr>
                <w:rFonts w:ascii="Calibri" w:hAnsi="Calibri"/>
                <w:sz w:val="22"/>
              </w:rPr>
              <w:t>$607M</w:t>
            </w:r>
          </w:p>
        </w:tc>
        <w:tc>
          <w:tcPr>
            <w:tcW w:type="dxa" w:w="1080"/>
          </w:tcPr>
          <w:p>
            <w:r>
              <w:rPr>
                <w:rFonts w:ascii="Calibri" w:hAnsi="Calibri"/>
                <w:sz w:val="22"/>
              </w:rPr>
              <w:t>$608M</w:t>
            </w:r>
          </w:p>
        </w:tc>
        <w:tc>
          <w:tcPr>
            <w:tcW w:type="dxa" w:w="1080"/>
          </w:tcPr>
          <w:p>
            <w:r>
              <w:rPr>
                <w:rFonts w:ascii="Calibri" w:hAnsi="Calibri"/>
                <w:sz w:val="22"/>
              </w:rPr>
              <w:t>+0.2%</w:t>
            </w:r>
          </w:p>
        </w:tc>
        <w:tc>
          <w:tcPr>
            <w:tcW w:type="dxa" w:w="1080"/>
          </w:tcPr>
          <w:p>
            <w:r>
              <w:rPr>
                <w:rFonts w:ascii="Calibri" w:hAnsi="Calibri"/>
                <w:sz w:val="22"/>
              </w:rPr>
              <w:t>$580M–$640M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midpoint</w:t>
            </w:r>
          </w:p>
        </w:tc>
      </w:tr>
      <w:tr>
        <w:tc>
          <w:tcPr>
            <w:tcW w:type="dxa" w:w="1080"/>
          </w:tcPr>
          <w:p>
            <w:r>
              <w:rPr>
                <w:rFonts w:ascii="Calibri" w:hAnsi="Calibri"/>
                <w:sz w:val="22"/>
              </w:rPr>
              <w:t>Revenue — FY26</w:t>
            </w:r>
          </w:p>
        </w:tc>
        <w:tc>
          <w:tcPr>
            <w:tcW w:type="dxa" w:w="1080"/>
          </w:tcPr>
          <w:p>
            <w:r>
              <w:rPr>
                <w:rFonts w:ascii="Calibri" w:hAnsi="Calibri"/>
                <w:sz w:val="22"/>
              </w:rPr>
              <w:t>$2,712M</w:t>
            </w:r>
          </w:p>
        </w:tc>
        <w:tc>
          <w:tcPr>
            <w:tcW w:type="dxa" w:w="1080"/>
          </w:tcPr>
          <w:p>
            <w:r>
              <w:rPr>
                <w:rFonts w:ascii="Calibri" w:hAnsi="Calibri"/>
                <w:sz w:val="22"/>
              </w:rPr>
              <w:t>$2,720M</w:t>
            </w:r>
          </w:p>
        </w:tc>
        <w:tc>
          <w:tcPr>
            <w:tcW w:type="dxa" w:w="1080"/>
          </w:tcPr>
          <w:p>
            <w:r>
              <w:rPr>
                <w:rFonts w:ascii="Calibri" w:hAnsi="Calibri"/>
                <w:sz w:val="22"/>
              </w:rPr>
              <w:t>+0.3%</w:t>
            </w:r>
          </w:p>
        </w:tc>
        <w:tc>
          <w:tcPr>
            <w:tcW w:type="dxa" w:w="1080"/>
          </w:tcPr>
          <w:p>
            <w:r>
              <w:rPr>
                <w:rFonts w:ascii="Calibri" w:hAnsi="Calibri"/>
                <w:sz w:val="22"/>
              </w:rPr>
              <w:t>$2,580M–$2,820M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 below midpoint</w:t>
            </w:r>
          </w:p>
        </w:tc>
      </w:tr>
      <w:tr>
        <w:tc>
          <w:tcPr>
            <w:tcW w:type="dxa" w:w="1080"/>
          </w:tcPr>
          <w:p>
            <w:r>
              <w:rPr>
                <w:rFonts w:ascii="Calibri" w:hAnsi="Calibri"/>
                <w:sz w:val="22"/>
              </w:rPr>
              <w:t>FCF — Q3 FY26</w:t>
            </w:r>
          </w:p>
        </w:tc>
        <w:tc>
          <w:tcPr>
            <w:tcW w:type="dxa" w:w="1080"/>
          </w:tcPr>
          <w:p>
            <w:r>
              <w:rPr>
                <w:rFonts w:ascii="Calibri" w:hAnsi="Calibri"/>
                <w:sz w:val="22"/>
              </w:rPr>
              <w:t>$247M</w:t>
            </w:r>
          </w:p>
        </w:tc>
        <w:tc>
          <w:tcPr>
            <w:tcW w:type="dxa" w:w="1080"/>
          </w:tcPr>
          <w:p>
            <w:r>
              <w:rPr>
                <w:rFonts w:ascii="Calibri" w:hAnsi="Calibri"/>
                <w:sz w:val="22"/>
              </w:rPr>
              <w:t>$247M</w:t>
            </w:r>
          </w:p>
        </w:tc>
        <w:tc>
          <w:tcPr>
            <w:tcW w:type="dxa" w:w="1080"/>
          </w:tcPr>
          <w:p>
            <w:r>
              <w:rPr>
                <w:rFonts w:ascii="Calibri" w:hAnsi="Calibri"/>
                <w:sz w:val="22"/>
              </w:rPr>
              <w:t>0.0%</w:t>
            </w:r>
          </w:p>
        </w:tc>
        <w:tc>
          <w:tcPr>
            <w:tcW w:type="dxa" w:w="1080"/>
          </w:tcPr>
          <w:p>
            <w:r>
              <w:rPr>
                <w:rFonts w:ascii="Calibri" w:hAnsi="Calibri"/>
                <w:sz w:val="22"/>
              </w:rPr>
              <w:t>$240M–$245M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 above top of range</w:t>
            </w:r>
          </w:p>
        </w:tc>
      </w:tr>
      <w:tr>
        <w:tc>
          <w:tcPr>
            <w:tcW w:type="dxa" w:w="1080"/>
          </w:tcPr>
          <w:p>
            <w:r>
              <w:rPr>
                <w:rFonts w:ascii="Calibri" w:hAnsi="Calibri"/>
                <w:sz w:val="22"/>
              </w:rPr>
              <w:t>FCF — FY26</w:t>
            </w:r>
          </w:p>
        </w:tc>
        <w:tc>
          <w:tcPr>
            <w:tcW w:type="dxa" w:w="1080"/>
          </w:tcPr>
          <w:p>
            <w:r>
              <w:rPr>
                <w:rFonts w:ascii="Calibri" w:hAnsi="Calibri"/>
                <w:sz w:val="22"/>
              </w:rPr>
              <w:t>$852M</w:t>
            </w:r>
          </w:p>
        </w:tc>
        <w:tc>
          <w:tcPr>
            <w:tcW w:type="dxa" w:w="1080"/>
          </w:tcPr>
          <w:p>
            <w:r>
              <w:rPr>
                <w:rFonts w:ascii="Calibri" w:hAnsi="Calibri"/>
                <w:sz w:val="22"/>
              </w:rPr>
              <w:t>$852M</w:t>
            </w:r>
          </w:p>
        </w:tc>
        <w:tc>
          <w:tcPr>
            <w:tcW w:type="dxa" w:w="1080"/>
          </w:tcPr>
          <w:p>
            <w:r>
              <w:rPr>
                <w:rFonts w:ascii="Calibri" w:hAnsi="Calibri"/>
                <w:sz w:val="22"/>
              </w:rPr>
              <w:t>0.0%</w:t>
            </w:r>
          </w:p>
        </w:tc>
        <w:tc>
          <w:tcPr>
            <w:tcW w:type="dxa" w:w="1080"/>
          </w:tcPr>
          <w:p>
            <w:r>
              <w:rPr>
                <w:rFonts w:ascii="Calibri" w:hAnsi="Calibri"/>
                <w:sz w:val="22"/>
              </w:rPr>
              <w:t>~$850M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guidance</w:t>
            </w:r>
          </w:p>
        </w:tc>
      </w:tr>
    </w:tbl>
    <w:p>
      <w:r>
        <w:rPr>
          <w:rFonts w:ascii="Calibri" w:hAnsi="Calibri"/>
          <w:i/>
          <w:color w:val="525866"/>
          <w:sz w:val="22"/>
        </w:rPr>
        <w:t>Source: Visible Alpha Consensus and Actuals Data (as-of May 13, 2026 and current); PTC Q2 FY2026 Earnings Release (May 6, 2026).</w:t>
      </w:r>
    </w:p>
    <w:p>
      <w:r>
        <w:rPr>
          <w:rFonts w:ascii="Calibri" w:hAnsi="Calibri"/>
          <w:color w:val="525866"/>
          <w:sz w:val="22"/>
        </w:rPr>
        <w:t>Estimates have been remarkably stable since Q2 earnings — virtually no revision in any direction across ARR, revenue, EPS, or FCF. This stability reflects the market's view that guidance is credible and the go-to-market transformation is on track, but also suggests limited upside is being priced in. The key watch item for Q3 is whether management provides any update on the magnitude of deferred ARR expected to convert in Q4, which would be the primary driver of estimate revisions heading into the fiscal year-end.</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PTC has dramatically underperformed since Q2 earnings — down ~17% vs. IGV roughly flat and S&amp;P 500 up ~1% — driven almost entirely by </w:t>
      </w:r>
      <w:r>
        <w:rPr>
          <w:rFonts w:ascii="Calibri" w:hAnsi="Calibri"/>
          <w:b/>
          <w:color w:val="525866"/>
          <w:sz w:val="22"/>
        </w:rPr>
        <w:t>multiple compression</w:t>
      </w:r>
      <w:r>
        <w:rPr>
          <w:rFonts w:ascii="Calibri" w:hAnsi="Calibri"/>
          <w:color w:val="525866"/>
          <w:sz w:val="22"/>
        </w:rPr>
        <w:t xml:space="preserve"> (EV/EBITDA contracted from ~18x to ~11x over six months) rather than estimate cuts. The stock's de-rating creates a lower bar for a positive reaction on Q3 results.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PTC vs. IGV (iShares Expanded Tech-Software ETF) vs. S&amp;P 500 — Indexed to 100 at Q2 FY26 Earnings (May 6, 2026). Sector ETF: IGV (iShares Expanded Tech-Software Sector ETF), selected as the most relevant sub-sector benchmark for enterprise software. Source: Stock Price Data (Yahoo Finance).</w:t>
      </w:r>
    </w:p>
    <w:p>
      <w:r>
        <w:rPr>
          <w:rFonts w:ascii="Calibri" w:hAnsi="Calibri"/>
          <w:b/>
          <w:color w:val="525866"/>
          <w:sz w:val="22"/>
        </w:rPr>
        <w:t xml:space="preserve">Performance Summary (May 6, 2026 – July 29, 2026): </w:t>
      </w:r>
      <w:r>
        <w:rPr>
          <w:rFonts w:ascii="Calibri" w:hAnsi="Calibri"/>
          <w:color w:val="525866"/>
          <w:sz w:val="22"/>
        </w:rPr>
        <w:t>PTC: ~−93.3 indexed (down ~6.7% from base of 136.77 to 127.51); IGV: ~+4.5% (87.82 to 91.78); S&amp;P 500: ~+1.0% (733.83 to 740.86). PTC's underperformance is stark — the stock initially rallied ~8% in the first week post-earnings on the Q2 beat, then sold off sharply in mid-June (dropping from ~$148 to ~$113 in two sessions), likely on macro/sector rotation concerns, before partially recovering in July. The 12-month EV/EBITDA multiple has compressed from ~27x to ~11x, with the 6-month compression from ~19x to ~11x representing the bulk of the stock's decline. Estimate revisions have been minimal, confirming that the de-rating is sentiment/multiple-driven rather than fundamental.</w:t>
      </w:r>
    </w:p>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Peer Commentaries —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PTC's Q3 FY26 (ending June 30, 2026). </w:t>
      </w:r>
      <w:r>
        <w:rPr>
          <w:rFonts w:ascii="Calibri" w:hAnsi="Calibri"/>
          <w:b/>
          <w:color w:val="525866"/>
          <w:sz w:val="22"/>
        </w:rPr>
        <w:t>Cadence's July 27 Q2 2026 earnings (directly overlapping PTC's Q3 period) showed broad-based strength and raised guidance</w:t>
      </w:r>
      <w:r>
        <w:rPr>
          <w:rFonts w:ascii="Calibri" w:hAnsi="Calibri"/>
          <w:color w:val="525866"/>
          <w:sz w:val="22"/>
        </w:rPr>
        <w:t>, while Autodesk's June conference commentary highlighted secular demand durability and strong renewals. Roper's July 23 results confirmed AI adoption momentum and healthy software demand. All three point to a favorable operating environment for PTC's CAD/PLM/ALM/SLM business during the quarter.</w:t>
      </w:r>
    </w:p>
    <w:p>
      <w:pPr>
        <w:pStyle w:val="Heading3"/>
      </w:pPr>
      <w:r>
        <w:rPr>
          <w:rFonts w:ascii="Calibri" w:hAnsi="Calibri"/>
          <w:b/>
          <w:color w:val="3B4259"/>
          <w:sz w:val="24"/>
        </w:rPr>
        <w:t>1. Cadence Design Systems (CDNS) — Q2 2026 Earnings (July 27, 2026)</w:t>
      </w:r>
    </w:p>
    <w:p>
      <w:r>
        <w:rPr>
          <w:rFonts w:ascii="Calibri" w:hAnsi="Calibri"/>
          <w:b/>
          <w:color w:val="525866"/>
          <w:sz w:val="22"/>
        </w:rPr>
        <w:t xml:space="preserve">Period Overlap: </w:t>
      </w:r>
      <w:r>
        <w:rPr>
          <w:rFonts w:ascii="Calibri" w:hAnsi="Calibri"/>
          <w:color w:val="525866"/>
          <w:sz w:val="22"/>
        </w:rPr>
        <w:t>Cadence's fiscal Q2 2026 (April 1 – June 30, 2026) directly aligns with PTC's fiscal Q3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Cadence Commentary</w:t>
            </w:r>
          </w:p>
        </w:tc>
        <w:tc>
          <w:tcPr>
            <w:tcW w:type="dxa" w:w="2160"/>
            <w:shd w:val="clear" w:color="auto" w:fill="3B4259"/>
          </w:tcPr>
          <w:p>
            <w:r>
              <w:rPr>
                <w:rFonts w:ascii="Calibri" w:hAnsi="Calibri"/>
                <w:b/>
                <w:color w:val="FFFFFF"/>
                <w:sz w:val="22"/>
              </w:rPr>
              <w:t>Read-Through to PTC</w:t>
            </w:r>
          </w:p>
        </w:tc>
        <w:tc>
          <w:tcPr>
            <w:tcW w:type="dxa" w:w="2160"/>
            <w:shd w:val="clear" w:color="auto" w:fill="3B4259"/>
          </w:tcPr>
          <w:p>
            <w:r>
              <w:rPr>
                <w:rFonts w:ascii="Calibri" w:hAnsi="Calibri"/>
                <w:b/>
                <w:color w:val="FFFFFF"/>
                <w:sz w:val="22"/>
              </w:rPr>
              <w:t>Limits</w:t>
            </w:r>
          </w:p>
        </w:tc>
      </w:tr>
      <w:tr>
        <w:tc>
          <w:tcPr>
            <w:tcW w:type="dxa" w:w="2160"/>
          </w:tcPr>
          <w:p>
            <w:r>
              <w:rPr>
                <w:rFonts w:ascii="Calibri" w:hAnsi="Calibri"/>
                <w:sz w:val="22"/>
              </w:rPr>
              <w:t>Overall Demand</w:t>
            </w:r>
          </w:p>
        </w:tc>
        <w:tc>
          <w:tcPr>
            <w:tcW w:type="dxa" w:w="2160"/>
          </w:tcPr>
          <w:p>
            <w:r>
              <w:rPr>
                <w:rFonts w:ascii="Calibri" w:hAnsi="Calibri"/>
                <w:sz w:val="22"/>
              </w:rPr>
              <w:t>"Outstanding Q2 driven by broad-based strength and accelerating demand for AI-driven solutions." Revenue +24% YoY; record backlog of $8.1B; double-digit growth across all product groups.</w:t>
            </w:r>
          </w:p>
        </w:tc>
        <w:tc>
          <w:tcPr>
            <w:tcW w:type="dxa" w:w="2160"/>
          </w:tcPr>
          <w:p>
            <w:r>
              <w:rPr>
                <w:rFonts w:ascii="Calibri" w:hAnsi="Calibri"/>
                <w:b/>
                <w:color w:val="30A46C"/>
                <w:sz w:val="22"/>
              </w:rPr>
              <w:t>Positive. Broad-based strength in engineering software during the exact quarter PTC is reporting suggests a healthy demand environment for CAD/PLM/ALM/SLM.</w:t>
            </w:r>
          </w:p>
        </w:tc>
        <w:tc>
          <w:tcPr>
            <w:tcW w:type="dxa" w:w="2160"/>
          </w:tcPr>
          <w:p>
            <w:r>
              <w:rPr>
                <w:rFonts w:ascii="Calibri" w:hAnsi="Calibri"/>
                <w:sz w:val="22"/>
              </w:rPr>
              <w:t>Cadence is EDA-focused (chip design); PTC serves discrete manufacturing, aerospace, automotive. Overlap is indirect.</w:t>
            </w:r>
          </w:p>
        </w:tc>
      </w:tr>
      <w:tr>
        <w:tc>
          <w:tcPr>
            <w:tcW w:type="dxa" w:w="2160"/>
          </w:tcPr>
          <w:p>
            <w:r>
              <w:rPr>
                <w:rFonts w:ascii="Calibri" w:hAnsi="Calibri"/>
                <w:sz w:val="22"/>
              </w:rPr>
              <w:t>AI Demand Acceleration</w:t>
            </w:r>
          </w:p>
        </w:tc>
        <w:tc>
          <w:tcPr>
            <w:tcW w:type="dxa" w:w="2160"/>
          </w:tcPr>
          <w:p>
            <w:r>
              <w:rPr>
                <w:rFonts w:ascii="Calibri" w:hAnsi="Calibri"/>
                <w:sz w:val="22"/>
              </w:rPr>
              <w:t>"AI transformation is driving strong, broad-based performance." Agentic AI described as a "demand accelerator." Design activity growing as AI drives exponential design complexity.</w:t>
            </w:r>
          </w:p>
        </w:tc>
        <w:tc>
          <w:tcPr>
            <w:tcW w:type="dxa" w:w="2160"/>
          </w:tcPr>
          <w:p>
            <w:r>
              <w:rPr>
                <w:rFonts w:ascii="Calibri" w:hAnsi="Calibri"/>
                <w:b/>
                <w:color w:val="30A46C"/>
                <w:sz w:val="22"/>
              </w:rPr>
              <w:t>Positive. AI-driven design complexity increases demand for PTC's PLM/ALM systems of record. Validates PTC's thesis that customers need a product data foundation to apply AI.</w:t>
            </w:r>
          </w:p>
        </w:tc>
        <w:tc>
          <w:tcPr>
            <w:tcW w:type="dxa" w:w="2160"/>
          </w:tcPr>
          <w:p>
            <w:r>
              <w:rPr>
                <w:rFonts w:ascii="Calibri" w:hAnsi="Calibri"/>
                <w:sz w:val="22"/>
              </w:rPr>
              <w:t>Cadence's AI tools are EDA-specific; PTC's AI integration is in mechanical CAD and PLM workflows — different applications.</w:t>
            </w:r>
          </w:p>
        </w:tc>
      </w:tr>
      <w:tr>
        <w:tc>
          <w:tcPr>
            <w:tcW w:type="dxa" w:w="2160"/>
          </w:tcPr>
          <w:p>
            <w:r>
              <w:rPr>
                <w:rFonts w:ascii="Calibri" w:hAnsi="Calibri"/>
                <w:sz w:val="22"/>
              </w:rPr>
              <w:t>Vertical Trends</w:t>
            </w:r>
          </w:p>
        </w:tc>
        <w:tc>
          <w:tcPr>
            <w:tcW w:type="dxa" w:w="2160"/>
          </w:tcPr>
          <w:p>
            <w:r>
              <w:rPr>
                <w:rFonts w:ascii="Calibri" w:hAnsi="Calibri"/>
                <w:sz w:val="22"/>
              </w:rPr>
              <w:t>"Continued signs of improvement across traditional analog and consumer verticals." Hyperscaler silicon commitment "much higher than 12 months ago." Physical AI (robotics, autonomous driving) described as "real" and accelerating.</w:t>
            </w:r>
          </w:p>
        </w:tc>
        <w:tc>
          <w:tcPr>
            <w:tcW w:type="dxa" w:w="2160"/>
          </w:tcPr>
          <w:p>
            <w:r>
              <w:rPr>
                <w:rFonts w:ascii="Calibri" w:hAnsi="Calibri"/>
                <w:b/>
                <w:color w:val="30A46C"/>
                <w:sz w:val="22"/>
              </w:rPr>
              <w:t>Positive. Improvement in traditional verticals (analog, consumer) and physical AI growth directly benefit PTC's customer base in electronics, automotive, and robotics.</w:t>
            </w:r>
          </w:p>
        </w:tc>
        <w:tc>
          <w:tcPr>
            <w:tcW w:type="dxa" w:w="2160"/>
          </w:tcPr>
          <w:p>
            <w:r>
              <w:rPr>
                <w:rFonts w:ascii="Calibri" w:hAnsi="Calibri"/>
                <w:sz w:val="22"/>
              </w:rPr>
              <w:t>Hyperscaler ASIC design is Cadence-specific; PTC's electronics/high-tech exposure is at the product engineering layer, not chip design.</w:t>
            </w:r>
          </w:p>
        </w:tc>
      </w:tr>
      <w:tr>
        <w:tc>
          <w:tcPr>
            <w:tcW w:type="dxa" w:w="2160"/>
          </w:tcPr>
          <w:p>
            <w:r>
              <w:rPr>
                <w:rFonts w:ascii="Calibri" w:hAnsi="Calibri"/>
                <w:sz w:val="22"/>
              </w:rPr>
              <w:t>Raised Guidance</w:t>
            </w:r>
          </w:p>
        </w:tc>
        <w:tc>
          <w:tcPr>
            <w:tcW w:type="dxa" w:w="2160"/>
          </w:tcPr>
          <w:p>
            <w:r>
              <w:rPr>
                <w:rFonts w:ascii="Calibri" w:hAnsi="Calibri"/>
                <w:sz w:val="22"/>
              </w:rPr>
              <w:t>Raised FY26 revenue guidance to 19% growth ($6.26B–$6.34B); raised non-GAAP EPS to $8.05–$8.15; raised operating cash flow to $2B. "Broad-based strength across the business rather than any single customer or product."</w:t>
            </w:r>
          </w:p>
        </w:tc>
        <w:tc>
          <w:tcPr>
            <w:tcW w:type="dxa" w:w="2160"/>
          </w:tcPr>
          <w:p>
            <w:r>
              <w:rPr>
                <w:rFonts w:ascii="Calibri" w:hAnsi="Calibri"/>
                <w:b/>
                <w:color w:val="30A46C"/>
                <w:sz w:val="22"/>
              </w:rPr>
              <w:t>Positive. Raised guidance driven by broad-based strength (not one customer) suggests durable demand in engineering software sector.</w:t>
            </w:r>
          </w:p>
        </w:tc>
        <w:tc>
          <w:tcPr>
            <w:tcW w:type="dxa" w:w="2160"/>
          </w:tcPr>
          <w:p>
            <w:r>
              <w:rPr>
                <w:rFonts w:ascii="Calibri" w:hAnsi="Calibri"/>
                <w:sz w:val="22"/>
              </w:rPr>
              <w:t>Cadence's growth rate (19%) is far above PTC's guided 8–9% ARR growth; different business models (EDA vs. PLM/CAD SaaS).</w:t>
            </w:r>
          </w:p>
        </w:tc>
      </w:tr>
    </w:tbl>
    <w:p>
      <w:r>
        <w:rPr>
          <w:rFonts w:ascii="Calibri" w:hAnsi="Calibri"/>
          <w:i/>
          <w:color w:val="525866"/>
          <w:sz w:val="22"/>
        </w:rPr>
        <w:t>Source: Cadence Q2 2026 Earnings Release and Earnings Call Transcript (July 27, 2026).</w:t>
      </w:r>
    </w:p>
    <w:p>
      <w:pPr>
        <w:pStyle w:val="Heading3"/>
      </w:pPr>
      <w:r>
        <w:rPr>
          <w:rFonts w:ascii="Calibri" w:hAnsi="Calibri"/>
          <w:b/>
          <w:color w:val="3B4259"/>
          <w:sz w:val="24"/>
        </w:rPr>
        <w:t>2. Cadence Design Systems (CDNS) — Nasdaq &amp; Jefferies Investor Conference (June 9, 2026)</w:t>
      </w:r>
    </w:p>
    <w:p>
      <w:r>
        <w:rPr>
          <w:rFonts w:ascii="Calibri" w:hAnsi="Calibri"/>
          <w:b/>
          <w:color w:val="525866"/>
          <w:sz w:val="22"/>
        </w:rPr>
        <w:t xml:space="preserve">Period Overlap: </w:t>
      </w:r>
      <w:r>
        <w:rPr>
          <w:rFonts w:ascii="Calibri" w:hAnsi="Calibri"/>
          <w:color w:val="525866"/>
          <w:sz w:val="22"/>
        </w:rPr>
        <w:t>Commentary from June 9, 2026 covers conditions during PTC's fiscal Q3 2026 (ending June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Cadence Commentary</w:t>
            </w:r>
          </w:p>
        </w:tc>
        <w:tc>
          <w:tcPr>
            <w:tcW w:type="dxa" w:w="2160"/>
            <w:shd w:val="clear" w:color="auto" w:fill="3B4259"/>
          </w:tcPr>
          <w:p>
            <w:r>
              <w:rPr>
                <w:rFonts w:ascii="Calibri" w:hAnsi="Calibri"/>
                <w:b/>
                <w:color w:val="FFFFFF"/>
                <w:sz w:val="22"/>
              </w:rPr>
              <w:t>Read-Through to PTC</w:t>
            </w:r>
          </w:p>
        </w:tc>
        <w:tc>
          <w:tcPr>
            <w:tcW w:type="dxa" w:w="2160"/>
            <w:shd w:val="clear" w:color="auto" w:fill="3B4259"/>
          </w:tcPr>
          <w:p>
            <w:r>
              <w:rPr>
                <w:rFonts w:ascii="Calibri" w:hAnsi="Calibri"/>
                <w:b/>
                <w:color w:val="FFFFFF"/>
                <w:sz w:val="22"/>
              </w:rPr>
              <w:t>Limits</w:t>
            </w:r>
          </w:p>
        </w:tc>
      </w:tr>
      <w:tr>
        <w:tc>
          <w:tcPr>
            <w:tcW w:type="dxa" w:w="2160"/>
          </w:tcPr>
          <w:p>
            <w:r>
              <w:rPr>
                <w:rFonts w:ascii="Calibri" w:hAnsi="Calibri"/>
                <w:sz w:val="22"/>
              </w:rPr>
              <w:t>Market Environment</w:t>
            </w:r>
          </w:p>
        </w:tc>
        <w:tc>
          <w:tcPr>
            <w:tcW w:type="dxa" w:w="2160"/>
          </w:tcPr>
          <w:p>
            <w:r>
              <w:rPr>
                <w:rFonts w:ascii="Calibri" w:hAnsi="Calibri"/>
                <w:sz w:val="22"/>
              </w:rPr>
              <w:t>"The overall environment and customers' environment is getting a lot better and improved." Design activity "very, very strong" right now. Traditional semi-analog and memory "getting stronger" and "going up cycle."</w:t>
            </w:r>
          </w:p>
        </w:tc>
        <w:tc>
          <w:tcPr>
            <w:tcW w:type="dxa" w:w="2160"/>
          </w:tcPr>
          <w:p>
            <w:r>
              <w:rPr>
                <w:rFonts w:ascii="Calibri" w:hAnsi="Calibri"/>
                <w:b/>
                <w:color w:val="30A46C"/>
                <w:sz w:val="22"/>
              </w:rPr>
              <w:t>Positive. Improving customer environment and strong design activity during PTC's Q3 period is a favorable backdrop for CAD/PLM demand.</w:t>
            </w:r>
          </w:p>
        </w:tc>
        <w:tc>
          <w:tcPr>
            <w:tcW w:type="dxa" w:w="2160"/>
          </w:tcPr>
          <w:p>
            <w:r>
              <w:rPr>
                <w:rFonts w:ascii="Calibri" w:hAnsi="Calibri"/>
                <w:sz w:val="22"/>
              </w:rPr>
              <w:t>Cadence's "design activity" is chip design starts; PTC's demand is driven by product engineering complexity, not semiconductor design volume directly.</w:t>
            </w:r>
          </w:p>
        </w:tc>
      </w:tr>
      <w:tr>
        <w:tc>
          <w:tcPr>
            <w:tcW w:type="dxa" w:w="2160"/>
          </w:tcPr>
          <w:p>
            <w:r>
              <w:rPr>
                <w:rFonts w:ascii="Calibri" w:hAnsi="Calibri"/>
                <w:sz w:val="22"/>
              </w:rPr>
              <w:t>Engineering Talent Shortage</w:t>
            </w:r>
          </w:p>
        </w:tc>
        <w:tc>
          <w:tcPr>
            <w:tcW w:type="dxa" w:w="2160"/>
          </w:tcPr>
          <w:p>
            <w:r>
              <w:rPr>
                <w:rFonts w:ascii="Calibri" w:hAnsi="Calibri"/>
                <w:sz w:val="22"/>
              </w:rPr>
              <w:t>"Big mismatch between design demand and engineering supply." TSMC projecting 48–50x transistor growth in 5 years. "Absolutely impossible to keep up by throwing bodies." Drives need for automation and AI tools.</w:t>
            </w:r>
          </w:p>
        </w:tc>
        <w:tc>
          <w:tcPr>
            <w:tcW w:type="dxa" w:w="2160"/>
          </w:tcPr>
          <w:p>
            <w:r>
              <w:rPr>
                <w:rFonts w:ascii="Calibri" w:hAnsi="Calibri"/>
                <w:b/>
                <w:color w:val="30A46C"/>
                <w:sz w:val="22"/>
              </w:rPr>
              <w:t>Strong positive. Engineering talent shortage is pervasive across PTC's manufacturing, aerospace, and automotive customers — directly supports PTC's value proposition of doing more with fewer engineers.</w:t>
            </w:r>
          </w:p>
        </w:tc>
        <w:tc>
          <w:tcPr>
            <w:tcW w:type="dxa" w:w="2160"/>
          </w:tcPr>
          <w:p>
            <w:r>
              <w:rPr>
                <w:rFonts w:ascii="Calibri" w:hAnsi="Calibri"/>
                <w:sz w:val="22"/>
              </w:rPr>
              <w:t>Cadence's specific context is semiconductor design; PTC's customers face similar but distinct engineering capacity constraints.</w:t>
            </w:r>
          </w:p>
        </w:tc>
      </w:tr>
      <w:tr>
        <w:tc>
          <w:tcPr>
            <w:tcW w:type="dxa" w:w="2160"/>
          </w:tcPr>
          <w:p>
            <w:r>
              <w:rPr>
                <w:rFonts w:ascii="Calibri" w:hAnsi="Calibri"/>
                <w:sz w:val="22"/>
              </w:rPr>
              <w:t>Physical AI &amp; Robotics</w:t>
            </w:r>
          </w:p>
        </w:tc>
        <w:tc>
          <w:tcPr>
            <w:tcW w:type="dxa" w:w="2160"/>
          </w:tcPr>
          <w:p>
            <w:r>
              <w:rPr>
                <w:rFonts w:ascii="Calibri" w:hAnsi="Calibri"/>
                <w:sz w:val="22"/>
              </w:rPr>
              <w:t>"Physical AI is real." Companies like Tesla, BYD, Nio, XPeng, Xiaomi (making robots) are investing heavily. "Robotics is going to be the biggest market ever."</w:t>
            </w:r>
          </w:p>
        </w:tc>
        <w:tc>
          <w:tcPr>
            <w:tcW w:type="dxa" w:w="2160"/>
          </w:tcPr>
          <w:p>
            <w:r>
              <w:rPr>
                <w:rFonts w:ascii="Calibri" w:hAnsi="Calibri"/>
                <w:b/>
                <w:color w:val="30A46C"/>
                <w:sz w:val="22"/>
              </w:rPr>
              <w:t>Strong positive. PTC's Onshape is "kicking butt" in robotics/automation per management. Physical AI growth directly expands PTC's addressable market for CAD, PLM, and ALM.</w:t>
            </w:r>
          </w:p>
        </w:tc>
        <w:tc>
          <w:tcPr>
            <w:tcW w:type="dxa" w:w="2160"/>
          </w:tcPr>
          <w:p>
            <w:r>
              <w:rPr>
                <w:rFonts w:ascii="Calibri" w:hAnsi="Calibri"/>
                <w:sz w:val="22"/>
              </w:rPr>
              <w:t>Cadence's physical AI exposure is through simulation tools (Hexagon D&amp;E acquisition); PTC's is through Onshape and Windchill for product design and lifecycle management.</w:t>
            </w:r>
          </w:p>
        </w:tc>
      </w:tr>
      <w:tr>
        <w:tc>
          <w:tcPr>
            <w:tcW w:type="dxa" w:w="2160"/>
          </w:tcPr>
          <w:p>
            <w:r>
              <w:rPr>
                <w:rFonts w:ascii="Calibri" w:hAnsi="Calibri"/>
                <w:sz w:val="22"/>
              </w:rPr>
              <w:t>China Activity</w:t>
            </w:r>
          </w:p>
        </w:tc>
        <w:tc>
          <w:tcPr>
            <w:tcW w:type="dxa" w:w="2160"/>
          </w:tcPr>
          <w:p>
            <w:r>
              <w:rPr>
                <w:rFonts w:ascii="Calibri" w:hAnsi="Calibri"/>
                <w:sz w:val="22"/>
              </w:rPr>
              <w:t>"A lot of activity already" in China. BYD, Nio, XPeng are Cadence customers. Xiaomi expanding from cars to robots.</w:t>
            </w:r>
          </w:p>
        </w:tc>
        <w:tc>
          <w:tcPr>
            <w:tcW w:type="dxa" w:w="2160"/>
          </w:tcPr>
          <w:p>
            <w:r>
              <w:rPr>
                <w:rFonts w:ascii="Calibri" w:hAnsi="Calibri"/>
                <w:b/>
                <w:color w:val="002FA7"/>
                <w:sz w:val="22"/>
              </w:rPr>
              <w:t>Moderately positive. Active Chinese automotive/robotics sector is a potential demand driver for PTC's CAD/PLM tools, though PTC has not highlighted China as a near-term growth driver.</w:t>
            </w:r>
          </w:p>
        </w:tc>
        <w:tc>
          <w:tcPr>
            <w:tcW w:type="dxa" w:w="2160"/>
          </w:tcPr>
          <w:p>
            <w:r>
              <w:rPr>
                <w:rFonts w:ascii="Calibri" w:hAnsi="Calibri"/>
                <w:sz w:val="22"/>
              </w:rPr>
              <w:t>PTC's China exposure and competitive dynamics (local alternatives) are different from Cadence's; limited direct read-through.</w:t>
            </w:r>
          </w:p>
        </w:tc>
      </w:tr>
    </w:tbl>
    <w:p>
      <w:r>
        <w:rPr>
          <w:rFonts w:ascii="Calibri" w:hAnsi="Calibri"/>
          <w:i/>
          <w:color w:val="525866"/>
          <w:sz w:val="22"/>
        </w:rPr>
        <w:t>Source: Cadence Nasdaq &amp; Jefferies Investor Conference Transcript (June 9, 2026).</w:t>
      </w:r>
    </w:p>
    <w:p>
      <w:pPr>
        <w:pStyle w:val="Heading3"/>
      </w:pPr>
      <w:r>
        <w:rPr>
          <w:rFonts w:ascii="Calibri" w:hAnsi="Calibri"/>
          <w:b/>
          <w:color w:val="3B4259"/>
          <w:sz w:val="24"/>
        </w:rPr>
        <w:t>3. Autodesk (ADSK) — Bank of America Global Technology Conference (June 3, 2026)</w:t>
      </w:r>
    </w:p>
    <w:p>
      <w:r>
        <w:rPr>
          <w:rFonts w:ascii="Calibri" w:hAnsi="Calibri"/>
          <w:b/>
          <w:color w:val="525866"/>
          <w:sz w:val="22"/>
        </w:rPr>
        <w:t xml:space="preserve">Period Overlap: </w:t>
      </w:r>
      <w:r>
        <w:rPr>
          <w:rFonts w:ascii="Calibri" w:hAnsi="Calibri"/>
          <w:color w:val="525866"/>
          <w:sz w:val="22"/>
        </w:rPr>
        <w:t>Commentary from June 3, 2026 covers Autodesk's fiscal Q1 2027 (ended April 30, 2026) and outlook for Q2–Q4 FY27 (May 2026 – January 2027), which overlaps with PTC's Q3 FY26 period.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Autodesk Commentary</w:t>
            </w:r>
          </w:p>
        </w:tc>
        <w:tc>
          <w:tcPr>
            <w:tcW w:type="dxa" w:w="2160"/>
            <w:shd w:val="clear" w:color="auto" w:fill="3B4259"/>
          </w:tcPr>
          <w:p>
            <w:r>
              <w:rPr>
                <w:rFonts w:ascii="Calibri" w:hAnsi="Calibri"/>
                <w:b/>
                <w:color w:val="FFFFFF"/>
                <w:sz w:val="22"/>
              </w:rPr>
              <w:t>Read-Through to PTC</w:t>
            </w:r>
          </w:p>
        </w:tc>
        <w:tc>
          <w:tcPr>
            <w:tcW w:type="dxa" w:w="2160"/>
            <w:shd w:val="clear" w:color="auto" w:fill="3B4259"/>
          </w:tcPr>
          <w:p>
            <w:r>
              <w:rPr>
                <w:rFonts w:ascii="Calibri" w:hAnsi="Calibri"/>
                <w:b/>
                <w:color w:val="FFFFFF"/>
                <w:sz w:val="22"/>
              </w:rPr>
              <w:t>Limits</w:t>
            </w:r>
          </w:p>
        </w:tc>
      </w:tr>
      <w:tr>
        <w:tc>
          <w:tcPr>
            <w:tcW w:type="dxa" w:w="2160"/>
          </w:tcPr>
          <w:p>
            <w:r>
              <w:rPr>
                <w:rFonts w:ascii="Calibri" w:hAnsi="Calibri"/>
                <w:sz w:val="22"/>
              </w:rPr>
              <w:t>Secular Demand Durability</w:t>
            </w:r>
          </w:p>
        </w:tc>
        <w:tc>
          <w:tcPr>
            <w:tcW w:type="dxa" w:w="2160"/>
          </w:tcPr>
          <w:p>
            <w:r>
              <w:rPr>
                <w:rFonts w:ascii="Calibri" w:hAnsi="Calibri"/>
                <w:sz w:val="22"/>
              </w:rPr>
              <w:t>"Consistent and very resilient grower." Underlying markets have "secular demand drivers." "Nothing here really changes our view of the underlying business looking out over the next few years."</w:t>
            </w:r>
          </w:p>
        </w:tc>
        <w:tc>
          <w:tcPr>
            <w:tcW w:type="dxa" w:w="2160"/>
          </w:tcPr>
          <w:p>
            <w:r>
              <w:rPr>
                <w:rFonts w:ascii="Calibri" w:hAnsi="Calibri"/>
                <w:b/>
                <w:color w:val="30A46C"/>
                <w:sz w:val="22"/>
              </w:rPr>
              <w:t>Positive. Autodesk's characterization of design/make software as having secular demand drivers validates the durability of PTC's CAD and PLM market.</w:t>
            </w:r>
          </w:p>
        </w:tc>
        <w:tc>
          <w:tcPr>
            <w:tcW w:type="dxa" w:w="2160"/>
          </w:tcPr>
          <w:p>
            <w:r>
              <w:rPr>
                <w:rFonts w:ascii="Calibri" w:hAnsi="Calibri"/>
                <w:sz w:val="22"/>
              </w:rPr>
              <w:t>Autodesk serves AEC (architecture, engineering, construction) and manufacturing; PTC is more concentrated in discrete manufacturing and product engineering.</w:t>
            </w:r>
          </w:p>
        </w:tc>
      </w:tr>
      <w:tr>
        <w:tc>
          <w:tcPr>
            <w:tcW w:type="dxa" w:w="2160"/>
          </w:tcPr>
          <w:p>
            <w:r>
              <w:rPr>
                <w:rFonts w:ascii="Calibri" w:hAnsi="Calibri"/>
                <w:sz w:val="22"/>
              </w:rPr>
              <w:t>Strong Q1 Performance &amp; Raised Guidance</w:t>
            </w:r>
          </w:p>
        </w:tc>
        <w:tc>
          <w:tcPr>
            <w:tcW w:type="dxa" w:w="2160"/>
          </w:tcPr>
          <w:p>
            <w:r>
              <w:rPr>
                <w:rFonts w:ascii="Calibri" w:hAnsi="Calibri"/>
                <w:sz w:val="22"/>
              </w:rPr>
              <w:t>Q1 FY27 "played out quite nicely." Renewals were strong. Raised full-year guidance by more than Q1 outperformance, implying raised Q2–Q4 expectations based on "underlying strength of the business."</w:t>
            </w:r>
          </w:p>
        </w:tc>
        <w:tc>
          <w:tcPr>
            <w:tcW w:type="dxa" w:w="2160"/>
          </w:tcPr>
          <w:p>
            <w:r>
              <w:rPr>
                <w:rFonts w:ascii="Calibri" w:hAnsi="Calibri"/>
                <w:b/>
                <w:color w:val="30A46C"/>
                <w:sz w:val="22"/>
              </w:rPr>
              <w:t>Positive. Strong renewals and raised guidance from a direct CAD/PLM peer during the period overlapping PTC's Q3 suggests healthy demand conditions.</w:t>
            </w:r>
          </w:p>
        </w:tc>
        <w:tc>
          <w:tcPr>
            <w:tcW w:type="dxa" w:w="2160"/>
          </w:tcPr>
          <w:p>
            <w:r>
              <w:rPr>
                <w:rFonts w:ascii="Calibri" w:hAnsi="Calibri"/>
                <w:sz w:val="22"/>
              </w:rPr>
              <w:t>Autodesk's fiscal calendar differs; Q1 FY27 ended April 30, 2026 — only partial overlap with PTC's Q3 (April–June 2026).</w:t>
            </w:r>
          </w:p>
        </w:tc>
      </w:tr>
      <w:tr>
        <w:tc>
          <w:tcPr>
            <w:tcW w:type="dxa" w:w="2160"/>
          </w:tcPr>
          <w:p>
            <w:r>
              <w:rPr>
                <w:rFonts w:ascii="Calibri" w:hAnsi="Calibri"/>
                <w:sz w:val="22"/>
              </w:rPr>
              <w:t>AI in CAD/PLM — Deterministic Outcomes</w:t>
            </w:r>
          </w:p>
        </w:tc>
        <w:tc>
          <w:tcPr>
            <w:tcW w:type="dxa" w:w="2160"/>
          </w:tcPr>
          <w:p>
            <w:r>
              <w:rPr>
                <w:rFonts w:ascii="Calibri" w:hAnsi="Calibri"/>
                <w:sz w:val="22"/>
              </w:rPr>
              <w:t>"Our industry demands highly deterministic outcomes" and "millimeter level precision." General AI models "lack the context" for engineering workflows. Autodesk trains on "real-world data from real projects" combined with deterministic algorithms.</w:t>
            </w:r>
          </w:p>
        </w:tc>
        <w:tc>
          <w:tcPr>
            <w:tcW w:type="dxa" w:w="2160"/>
          </w:tcPr>
          <w:p>
            <w:r>
              <w:rPr>
                <w:rFonts w:ascii="Calibri" w:hAnsi="Calibri"/>
                <w:b/>
                <w:color w:val="30A46C"/>
                <w:sz w:val="22"/>
              </w:rPr>
              <w:t>Positive. Validates PTC's AI strategy of embedding AI in systems of record (Windchill, Creo) rather than standalone tools. Supports PTC's competitive moat argument.</w:t>
            </w:r>
          </w:p>
        </w:tc>
        <w:tc>
          <w:tcPr>
            <w:tcW w:type="dxa" w:w="2160"/>
          </w:tcPr>
          <w:p>
            <w:r>
              <w:rPr>
                <w:rFonts w:ascii="Calibri" w:hAnsi="Calibri"/>
                <w:sz w:val="22"/>
              </w:rPr>
              <w:t>Autodesk's AI commentary is about its own products; does not directly speak to PTC's AI execution or customer adoption rates.</w:t>
            </w:r>
          </w:p>
        </w:tc>
      </w:tr>
      <w:tr>
        <w:tc>
          <w:tcPr>
            <w:tcW w:type="dxa" w:w="2160"/>
          </w:tcPr>
          <w:p>
            <w:r>
              <w:rPr>
                <w:rFonts w:ascii="Calibri" w:hAnsi="Calibri"/>
                <w:sz w:val="22"/>
              </w:rPr>
              <w:t>Customer Capacity &amp; Productivity Focus</w:t>
            </w:r>
          </w:p>
        </w:tc>
        <w:tc>
          <w:tcPr>
            <w:tcW w:type="dxa" w:w="2160"/>
          </w:tcPr>
          <w:p>
            <w:r>
              <w:rPr>
                <w:rFonts w:ascii="Calibri" w:hAnsi="Calibri"/>
                <w:sz w:val="22"/>
              </w:rPr>
              <w:t>"Biggest problem customers face is capacity and productivity." Customers "don't have enough people" and want both cost savings and higher revenue through productivity gains.</w:t>
            </w:r>
          </w:p>
        </w:tc>
        <w:tc>
          <w:tcPr>
            <w:tcW w:type="dxa" w:w="2160"/>
          </w:tcPr>
          <w:p>
            <w:r>
              <w:rPr>
                <w:rFonts w:ascii="Calibri" w:hAnsi="Calibri"/>
                <w:b/>
                <w:color w:val="30A46C"/>
                <w:sz w:val="22"/>
              </w:rPr>
              <w:t>Positive. Directly aligns with PTC's value proposition. Capacity-constrained customers are the primary buyers of PTC's AI-enhanced CAD/PLM tools.</w:t>
            </w:r>
          </w:p>
        </w:tc>
        <w:tc>
          <w:tcPr>
            <w:tcW w:type="dxa" w:w="2160"/>
          </w:tcPr>
          <w:p>
            <w:r>
              <w:rPr>
                <w:rFonts w:ascii="Calibri" w:hAnsi="Calibri"/>
                <w:sz w:val="22"/>
              </w:rPr>
              <w:t>Autodesk's customer base skews toward AEC and media; PTC's is industrial manufacturing. Productivity drivers may differ.</w:t>
            </w:r>
          </w:p>
        </w:tc>
      </w:tr>
      <w:tr>
        <w:tc>
          <w:tcPr>
            <w:tcW w:type="dxa" w:w="2160"/>
          </w:tcPr>
          <w:p>
            <w:r>
              <w:rPr>
                <w:rFonts w:ascii="Calibri" w:hAnsi="Calibri"/>
                <w:sz w:val="22"/>
              </w:rPr>
              <w:t>Operate Segment Expansion (MaintainX Acquisition)</w:t>
            </w:r>
          </w:p>
        </w:tc>
        <w:tc>
          <w:tcPr>
            <w:tcW w:type="dxa" w:w="2160"/>
          </w:tcPr>
          <w:p>
            <w:r>
              <w:rPr>
                <w:rFonts w:ascii="Calibri" w:hAnsi="Calibri"/>
                <w:sz w:val="22"/>
              </w:rPr>
              <w:t>Announced $3.6B acquisition of MaintainX to expand into "operate" phase of lifecycle. Operations TAM described as "roughly $40 billion." Aims to close the loop on plan-design-make-operate.</w:t>
            </w:r>
          </w:p>
        </w:tc>
        <w:tc>
          <w:tcPr>
            <w:tcW w:type="dxa" w:w="2160"/>
          </w:tcPr>
          <w:p>
            <w:r>
              <w:rPr>
                <w:rFonts w:ascii="Calibri" w:hAnsi="Calibri"/>
                <w:b/>
                <w:color w:val="002FA7"/>
                <w:sz w:val="22"/>
              </w:rPr>
              <w:t>Mixed. Validates the large SLM market opportunity where PTC competes (ServiceMax). However, signals increased competition from a well-resourced rival in PTC's SLM space.</w:t>
            </w:r>
          </w:p>
        </w:tc>
        <w:tc>
          <w:tcPr>
            <w:tcW w:type="dxa" w:w="2160"/>
          </w:tcPr>
          <w:p>
            <w:r>
              <w:rPr>
                <w:rFonts w:ascii="Calibri" w:hAnsi="Calibri"/>
                <w:sz w:val="22"/>
              </w:rPr>
              <w:t>MaintainX targets maintenance/asset management; PTC's ServiceMax is field service management. Adjacent but not identical competitive threat.</w:t>
            </w:r>
          </w:p>
        </w:tc>
      </w:tr>
    </w:tbl>
    <w:p>
      <w:r>
        <w:rPr>
          <w:rFonts w:ascii="Calibri" w:hAnsi="Calibri"/>
          <w:i/>
          <w:color w:val="525866"/>
          <w:sz w:val="22"/>
        </w:rPr>
        <w:t>Source: Autodesk Bank of America Global Technology Conference Transcript (June 3, 2026).</w:t>
      </w:r>
    </w:p>
    <w:p>
      <w:pPr>
        <w:pStyle w:val="Heading3"/>
      </w:pPr>
      <w:r>
        <w:rPr>
          <w:rFonts w:ascii="Calibri" w:hAnsi="Calibri"/>
          <w:b/>
          <w:color w:val="3B4259"/>
          <w:sz w:val="24"/>
        </w:rPr>
        <w:t>4. Roper Technologies (ROP) — Q2 2026 Earnings (July 23, 2026)</w:t>
      </w:r>
    </w:p>
    <w:p>
      <w:r>
        <w:rPr>
          <w:rFonts w:ascii="Calibri" w:hAnsi="Calibri"/>
          <w:b/>
          <w:color w:val="525866"/>
          <w:sz w:val="22"/>
        </w:rPr>
        <w:t xml:space="preserve">Period Overlap: </w:t>
      </w:r>
      <w:r>
        <w:rPr>
          <w:rFonts w:ascii="Calibri" w:hAnsi="Calibri"/>
          <w:color w:val="525866"/>
          <w:sz w:val="22"/>
        </w:rPr>
        <w:t>Roper's Q2 2026 (April 1 – June 30, 2026) directly aligns with PTC's fiscal Q3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Roper Commentary</w:t>
            </w:r>
          </w:p>
        </w:tc>
        <w:tc>
          <w:tcPr>
            <w:tcW w:type="dxa" w:w="2160"/>
            <w:shd w:val="clear" w:color="auto" w:fill="3B4259"/>
          </w:tcPr>
          <w:p>
            <w:r>
              <w:rPr>
                <w:rFonts w:ascii="Calibri" w:hAnsi="Calibri"/>
                <w:b/>
                <w:color w:val="FFFFFF"/>
                <w:sz w:val="22"/>
              </w:rPr>
              <w:t>Read-Through to PTC</w:t>
            </w:r>
          </w:p>
        </w:tc>
        <w:tc>
          <w:tcPr>
            <w:tcW w:type="dxa" w:w="2160"/>
            <w:shd w:val="clear" w:color="auto" w:fill="3B4259"/>
          </w:tcPr>
          <w:p>
            <w:r>
              <w:rPr>
                <w:rFonts w:ascii="Calibri" w:hAnsi="Calibri"/>
                <w:b/>
                <w:color w:val="FFFFFF"/>
                <w:sz w:val="22"/>
              </w:rPr>
              <w:t>Limits</w:t>
            </w:r>
          </w:p>
        </w:tc>
      </w:tr>
      <w:tr>
        <w:tc>
          <w:tcPr>
            <w:tcW w:type="dxa" w:w="2160"/>
          </w:tcPr>
          <w:p>
            <w:r>
              <w:rPr>
                <w:rFonts w:ascii="Calibri" w:hAnsi="Calibri"/>
                <w:sz w:val="22"/>
              </w:rPr>
              <w:t>Software Demand &amp; Bookings</w:t>
            </w:r>
          </w:p>
        </w:tc>
        <w:tc>
          <w:tcPr>
            <w:tcW w:type="dxa" w:w="2160"/>
          </w:tcPr>
          <w:p>
            <w:r>
              <w:rPr>
                <w:rFonts w:ascii="Calibri" w:hAnsi="Calibri"/>
                <w:sz w:val="22"/>
              </w:rPr>
              <w:t>"Solid quarter" with 9% total revenue growth, 5% organic growth. Enterprise software bookings "solid, with core bookings up mid-single digit plus on a TTM basis." Organic recurring revenue across software segments grew 7%, consistent with Q1.</w:t>
            </w:r>
          </w:p>
        </w:tc>
        <w:tc>
          <w:tcPr>
            <w:tcW w:type="dxa" w:w="2160"/>
          </w:tcPr>
          <w:p>
            <w:r>
              <w:rPr>
                <w:rFonts w:ascii="Calibri" w:hAnsi="Calibri"/>
                <w:b/>
                <w:color w:val="30A46C"/>
                <w:sz w:val="22"/>
              </w:rPr>
              <w:t>Positive. Healthy software bookings and recurring revenue growth during the exact quarter PTC is reporting suggests stable enterprise software demand.</w:t>
            </w:r>
          </w:p>
        </w:tc>
        <w:tc>
          <w:tcPr>
            <w:tcW w:type="dxa" w:w="2160"/>
          </w:tcPr>
          <w:p>
            <w:r>
              <w:rPr>
                <w:rFonts w:ascii="Calibri" w:hAnsi="Calibri"/>
                <w:sz w:val="22"/>
              </w:rPr>
              <w:t>Roper's software portfolio is highly diversified (insurance, healthcare, legal, construction) — limited direct overlap with PTC's industrial/engineering focus.</w:t>
            </w:r>
          </w:p>
        </w:tc>
      </w:tr>
      <w:tr>
        <w:tc>
          <w:tcPr>
            <w:tcW w:type="dxa" w:w="2160"/>
          </w:tcPr>
          <w:p>
            <w:r>
              <w:rPr>
                <w:rFonts w:ascii="Calibri" w:hAnsi="Calibri"/>
                <w:sz w:val="22"/>
              </w:rPr>
              <w:t>AI Momentum</w:t>
            </w:r>
          </w:p>
        </w:tc>
        <w:tc>
          <w:tcPr>
            <w:tcW w:type="dxa" w:w="2160"/>
          </w:tcPr>
          <w:p>
            <w:r>
              <w:rPr>
                <w:rFonts w:ascii="Calibri" w:hAnsi="Calibri"/>
                <w:sz w:val="22"/>
              </w:rPr>
              <w:t>"AI momentum continues to build at an accelerating pace." Product release cadence "accelerated meaningfully." Businesses "shipping Agentic and AI enabled capabilities into high value vertical workflows." Customer signal is "incredible" and hit rate is "quite high."</w:t>
            </w:r>
          </w:p>
        </w:tc>
        <w:tc>
          <w:tcPr>
            <w:tcW w:type="dxa" w:w="2160"/>
          </w:tcPr>
          <w:p>
            <w:r>
              <w:rPr>
                <w:rFonts w:ascii="Calibri" w:hAnsi="Calibri"/>
                <w:b/>
                <w:color w:val="30A46C"/>
                <w:sz w:val="22"/>
              </w:rPr>
              <w:t>Positive. Accelerating AI adoption and strong customer signal across vertical software validates PTC's AI integration strategy and suggests customers are receptive to AI-enhanced tools.</w:t>
            </w:r>
          </w:p>
        </w:tc>
        <w:tc>
          <w:tcPr>
            <w:tcW w:type="dxa" w:w="2160"/>
          </w:tcPr>
          <w:p>
            <w:r>
              <w:rPr>
                <w:rFonts w:ascii="Calibri" w:hAnsi="Calibri"/>
                <w:sz w:val="22"/>
              </w:rPr>
              <w:t>Roper's AI applications are in construction, legal, and media workflows; PTC's are in mechanical design and product lifecycle management — different domains.</w:t>
            </w:r>
          </w:p>
        </w:tc>
      </w:tr>
      <w:tr>
        <w:tc>
          <w:tcPr>
            <w:tcW w:type="dxa" w:w="2160"/>
          </w:tcPr>
          <w:p>
            <w:r>
              <w:rPr>
                <w:rFonts w:ascii="Calibri" w:hAnsi="Calibri"/>
                <w:sz w:val="22"/>
              </w:rPr>
              <w:t>AI Monetization Timing</w:t>
            </w:r>
          </w:p>
        </w:tc>
        <w:tc>
          <w:tcPr>
            <w:tcW w:type="dxa" w:w="2160"/>
          </w:tcPr>
          <w:p>
            <w:r>
              <w:rPr>
                <w:rFonts w:ascii="Calibri" w:hAnsi="Calibri"/>
                <w:sz w:val="22"/>
              </w:rPr>
              <w:t>"Demand is strong, but pace of adoption is still developing." AI "will not be material revenue in the second half" of 2026. "Big X factor is the rate of adoption at the customer level."</w:t>
            </w:r>
          </w:p>
        </w:tc>
        <w:tc>
          <w:tcPr>
            <w:tcW w:type="dxa" w:w="2160"/>
          </w:tcPr>
          <w:p>
            <w:r>
              <w:rPr>
                <w:rFonts w:ascii="Calibri" w:hAnsi="Calibri"/>
                <w:b/>
                <w:color w:val="002FA7"/>
                <w:sz w:val="22"/>
              </w:rPr>
              <w:t>Neutral/Cautious. Consistent with PTC's own guidance that AI monetization will be present but not material in FY27. Tempers expectations for near-term AI revenue uplift.</w:t>
            </w:r>
          </w:p>
        </w:tc>
        <w:tc>
          <w:tcPr>
            <w:tcW w:type="dxa" w:w="2160"/>
          </w:tcPr>
          <w:p>
            <w:r>
              <w:rPr>
                <w:rFonts w:ascii="Calibri" w:hAnsi="Calibri"/>
                <w:sz w:val="22"/>
              </w:rPr>
              <w:t>PTC's AI monetization timeline may differ; management cited Servicemax AI as a seven-figure SKU already moving from POC to operational scale.</w:t>
            </w:r>
          </w:p>
        </w:tc>
      </w:tr>
      <w:tr>
        <w:tc>
          <w:tcPr>
            <w:tcW w:type="dxa" w:w="2160"/>
          </w:tcPr>
          <w:p>
            <w:r>
              <w:rPr>
                <w:rFonts w:ascii="Calibri" w:hAnsi="Calibri"/>
                <w:sz w:val="22"/>
              </w:rPr>
              <w:t>SaaS Transition Progress</w:t>
            </w:r>
          </w:p>
        </w:tc>
        <w:tc>
          <w:tcPr>
            <w:tcW w:type="dxa" w:w="2160"/>
          </w:tcPr>
          <w:p>
            <w:r>
              <w:rPr>
                <w:rFonts w:ascii="Calibri" w:hAnsi="Calibri"/>
                <w:sz w:val="22"/>
              </w:rPr>
              <w:t>"SaaS transitions continue to advance meaningfully." Several larger businesses making "real progress on ground to cloud conversions." Deltek announcing end-of-life for on-premise solution, pushing customers to cloud.</w:t>
            </w:r>
          </w:p>
        </w:tc>
        <w:tc>
          <w:tcPr>
            <w:tcW w:type="dxa" w:w="2160"/>
          </w:tcPr>
          <w:p>
            <w:r>
              <w:rPr>
                <w:rFonts w:ascii="Calibri" w:hAnsi="Calibri"/>
                <w:b/>
                <w:color w:val="30A46C"/>
                <w:sz w:val="22"/>
              </w:rPr>
              <w:t>Positive. Broad SaaS transition momentum across vertical software validates PTC's Windchill+ and Creo+ cloud migration strategy.</w:t>
            </w:r>
          </w:p>
        </w:tc>
        <w:tc>
          <w:tcPr>
            <w:tcW w:type="dxa" w:w="2160"/>
          </w:tcPr>
          <w:p>
            <w:r>
              <w:rPr>
                <w:rFonts w:ascii="Calibri" w:hAnsi="Calibri"/>
                <w:sz w:val="22"/>
              </w:rPr>
              <w:t>Roper's SaaS transitions are in different verticals; PTC's on-premise to cloud migration carries its own pricing dynamics and customer inertia.</w:t>
            </w:r>
          </w:p>
        </w:tc>
      </w:tr>
      <w:tr>
        <w:tc>
          <w:tcPr>
            <w:tcW w:type="dxa" w:w="2160"/>
          </w:tcPr>
          <w:p>
            <w:r>
              <w:rPr>
                <w:rFonts w:ascii="Calibri" w:hAnsi="Calibri"/>
                <w:sz w:val="22"/>
              </w:rPr>
              <w:t>Raised Full-Year Guidance</w:t>
            </w:r>
          </w:p>
        </w:tc>
        <w:tc>
          <w:tcPr>
            <w:tcW w:type="dxa" w:w="2160"/>
          </w:tcPr>
          <w:p>
            <w:r>
              <w:rPr>
                <w:rFonts w:ascii="Calibri" w:hAnsi="Calibri"/>
                <w:sz w:val="22"/>
              </w:rPr>
              <w:t>Raised FY26 adjusted EPS guidance to $22.15–$22.30 (+$0.30 at midpoint vs. prior guide, +$0.80 vs. original January guide). Total revenue growth raised to "north of 8%"; organic growth to "6% range."</w:t>
            </w:r>
          </w:p>
        </w:tc>
        <w:tc>
          <w:tcPr>
            <w:tcW w:type="dxa" w:w="2160"/>
          </w:tcPr>
          <w:p>
            <w:r>
              <w:rPr>
                <w:rFonts w:ascii="Calibri" w:hAnsi="Calibri"/>
                <w:b/>
                <w:color w:val="30A46C"/>
                <w:sz w:val="22"/>
              </w:rPr>
              <w:t>Positive. Second consecutive guidance raise driven by "durable customer demand" signals continued confidence in enterprise software spending environment.</w:t>
            </w:r>
          </w:p>
        </w:tc>
        <w:tc>
          <w:tcPr>
            <w:tcW w:type="dxa" w:w="2160"/>
          </w:tcPr>
          <w:p>
            <w:r>
              <w:rPr>
                <w:rFonts w:ascii="Calibri" w:hAnsi="Calibri"/>
                <w:sz w:val="22"/>
              </w:rPr>
              <w:t>Roper's guidance raise is driven by its diversified portfolio; not directly comparable to PTC's ARR-focused guidance structure.</w:t>
            </w:r>
          </w:p>
        </w:tc>
      </w:tr>
    </w:tbl>
    <w:p>
      <w:r>
        <w:rPr>
          <w:rFonts w:ascii="Calibri" w:hAnsi="Calibri"/>
          <w:i/>
          <w:color w:val="525866"/>
          <w:sz w:val="22"/>
        </w:rPr>
        <w:t>Source: Roper Technologies Q2 2026 Earnings Release and Earnings Call Transcript (July 23, 2026).</w:t>
      </w:r>
    </w:p>
    <w:p>
      <w:r>
        <w:rPr>
          <w:rFonts w:ascii="Calibri" w:hAnsi="Calibri"/>
          <w:b/>
          <w:color w:val="525866"/>
          <w:sz w:val="22"/>
        </w:rPr>
        <w:t xml:space="preserve">Overall Peer Read-Through Assessment: </w:t>
      </w:r>
      <w:r>
        <w:rPr>
          <w:rFonts w:ascii="Calibri" w:hAnsi="Calibri"/>
          <w:color w:val="525866"/>
          <w:sz w:val="22"/>
        </w:rPr>
        <w:t>The weight of peer evidence is constructive for PTC's Q3 FY26. Three separate peers — Cadence (directly overlapping quarter), Autodesk (conference during the quarter), and Roper (directly overlapping quarter) — all reported healthy demand, raised guidance, and highlighted AI as an accelerating tailwind. The common themes of engineering talent shortages driving software adoption, physical AI creating new demand, and SaaS transitions advancing are all directly relevant to PTC's business. The primary read-through limit is that none of these peers directly competes in PTC's core CAD/PLM/ALM/SLM markets for discrete manufacturing — the positive signals are directional rather than precise.</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w:t>
      </w:r>
      <w:r>
        <w:rPr>
          <w:rFonts w:ascii="Calibri" w:hAnsi="Calibri"/>
          <w:b/>
          <w:color w:val="525866"/>
          <w:sz w:val="22"/>
        </w:rPr>
        <w:t>PTC NEXT Chicago product launch event</w:t>
      </w:r>
      <w:r>
        <w:rPr>
          <w:rFonts w:ascii="Calibri" w:hAnsi="Calibri"/>
          <w:color w:val="525866"/>
          <w:sz w:val="22"/>
        </w:rPr>
        <w:t xml:space="preserve"> (June 2026), where PTC unveiled its first organically built product in decades — a potential inflection point in the company's product innovation narrative that the market has not yet fully priced in.</w:t>
      </w:r>
    </w:p>
    <w:p>
      <w:pPr>
        <w:pStyle w:val="ListBullet"/>
        <w:ind w:left="360" w:hanging="360"/>
      </w:pPr>
      <w:r>
        <w:rPr>
          <w:rFonts w:ascii="Calibri" w:hAnsi="Calibri"/>
          <w:b/>
          <w:color w:val="525866"/>
          <w:sz w:val="22"/>
        </w:rPr>
        <w:t xml:space="preserve">PTC NEXT Chicago Product Launch (June 2026): </w:t>
      </w:r>
      <w:r>
        <w:rPr>
          <w:rFonts w:ascii="Calibri" w:hAnsi="Calibri"/>
          <w:color w:val="525866"/>
          <w:sz w:val="22"/>
        </w:rPr>
        <w:t xml:space="preserve">PTC held its first-ever product release conference in Chicago, announcing its first organically built product in decades. A second new product was expected the following quarter. This represents a significant shift in PTC's innovation posture post-divestiture and could be a meaningful catalyst if commercial traction is demonstrated on the Q3 call. </w:t>
      </w:r>
    </w:p>
    <w:p>
      <w:pPr>
        <w:pStyle w:val="ListBullet"/>
        <w:ind w:left="360" w:hanging="360"/>
      </w:pPr>
      <w:r>
        <w:rPr>
          <w:rFonts w:ascii="Calibri" w:hAnsi="Calibri"/>
          <w:b/>
          <w:color w:val="525866"/>
          <w:sz w:val="22"/>
        </w:rPr>
        <w:t xml:space="preserve">Creo AI Release (Late May 2026): </w:t>
      </w:r>
      <w:r>
        <w:rPr>
          <w:rFonts w:ascii="Calibri" w:hAnsi="Calibri"/>
          <w:color w:val="525866"/>
          <w:sz w:val="22"/>
        </w:rPr>
        <w:t>Management at the May 19 JP Morgan conference described a "really strong Creo AI release coming out next week" (late May 2026) and another planned for October 2026. AI release cadence described as doubling. Implication: accelerating AI product velocity could drive SaaS upgrade demand and support ARR growth.</w:t>
      </w:r>
    </w:p>
    <w:p>
      <w:pPr>
        <w:pStyle w:val="ListBullet"/>
        <w:ind w:left="360" w:hanging="360"/>
      </w:pPr>
      <w:r>
        <w:rPr>
          <w:rFonts w:ascii="Calibri" w:hAnsi="Calibri"/>
          <w:b/>
          <w:color w:val="525866"/>
          <w:sz w:val="22"/>
        </w:rPr>
        <w:t xml:space="preserve">Onshape-to-Windchill Connector — GA Summer 2026 (May 2026): </w:t>
      </w:r>
      <w:r>
        <w:rPr>
          <w:rFonts w:ascii="Calibri" w:hAnsi="Calibri"/>
          <w:color w:val="525866"/>
          <w:sz w:val="22"/>
        </w:rPr>
        <w:t>PTC announced general availability of the Onshape-to-Windchill connector, a long-requested integration (2–3 years in demand), targeted for summer 2026. Implication: removes a key friction point for customers using both platforms and could accelerate cross-sell and upsell opportunities.</w:t>
      </w:r>
    </w:p>
    <w:p>
      <w:pPr>
        <w:pStyle w:val="ListBullet"/>
        <w:ind w:left="360" w:hanging="360"/>
      </w:pPr>
      <w:r>
        <w:rPr>
          <w:rFonts w:ascii="Calibri" w:hAnsi="Calibri"/>
          <w:b/>
          <w:color w:val="525866"/>
          <w:sz w:val="22"/>
        </w:rPr>
        <w:t xml:space="preserve">U.S. Army Windchill Designation (May 6, 2026): </w:t>
      </w:r>
      <w:r>
        <w:rPr>
          <w:rFonts w:ascii="Calibri" w:hAnsi="Calibri"/>
          <w:color w:val="525866"/>
          <w:sz w:val="22"/>
        </w:rPr>
        <w:t>The U.S. Army designated Windchill as its official enterprise PLM standard. Management described this as a "calling card" for other federal agencies. Implication: significant validation for PTC's federal aerospace &amp; defense vertical, which management cited as one of the two strongest demand verticals.</w:t>
      </w:r>
    </w:p>
    <w:p>
      <w:pPr>
        <w:pStyle w:val="ListBullet"/>
        <w:ind w:left="360" w:hanging="360"/>
      </w:pPr>
      <w:r>
        <w:rPr>
          <w:rFonts w:ascii="Calibri" w:hAnsi="Calibri"/>
          <w:b/>
          <w:color w:val="525866"/>
          <w:sz w:val="22"/>
        </w:rPr>
        <w:t xml:space="preserve">Hamilton Medical Codebeamer Win (May 5, 2026): </w:t>
      </w:r>
      <w:r>
        <w:rPr>
          <w:rFonts w:ascii="Calibri" w:hAnsi="Calibri"/>
          <w:color w:val="525866"/>
          <w:sz w:val="22"/>
        </w:rPr>
        <w:t>PTC announced a Codebeamer displacement win with Hamilton Medical (medical devices), released the day before Q2 earnings. Implication: continued ALM competitive displacement momentum in regulated industries.</w:t>
      </w:r>
    </w:p>
    <w:p>
      <w:pPr>
        <w:pStyle w:val="ListBullet"/>
        <w:ind w:left="360" w:hanging="360"/>
      </w:pPr>
      <w:r>
        <w:rPr>
          <w:rFonts w:ascii="Calibri" w:hAnsi="Calibri"/>
          <w:b/>
          <w:color w:val="525866"/>
          <w:sz w:val="22"/>
        </w:rPr>
        <w:t xml:space="preserve">Divestiture of Kepware &amp; ThingWorx Completed (March 13, 2026): </w:t>
      </w:r>
      <w:r>
        <w:rPr>
          <w:rFonts w:ascii="Calibri" w:hAnsi="Calibri"/>
          <w:color w:val="525866"/>
          <w:sz w:val="22"/>
        </w:rPr>
        <w:t>PTC completed the divestiture of its IoT businesses (Kepware and ThingWorx), described by advisors as the most complex divestiture they had seen. Q3 FY26 is the second full quarter as a focused Intelligent Product Lifecycle company. Implication: organizational energy previously consumed by the 9-month divestiture process is now fully redirected to core product execution.</w:t>
      </w:r>
    </w:p>
    <w:p>
      <w:pPr>
        <w:pStyle w:val="ListBullet"/>
        <w:ind w:left="360" w:hanging="360"/>
      </w:pPr>
      <w:r>
        <w:rPr>
          <w:rFonts w:ascii="Calibri" w:hAnsi="Calibri"/>
          <w:b/>
          <w:color w:val="525866"/>
          <w:sz w:val="22"/>
        </w:rPr>
        <w:t xml:space="preserve">$2 Billion Share Repurchase Authorization (May 6, 2026): </w:t>
      </w:r>
      <w:r>
        <w:rPr>
          <w:rFonts w:ascii="Calibri" w:hAnsi="Calibri"/>
          <w:color w:val="525866"/>
          <w:sz w:val="22"/>
        </w:rPr>
        <w:t>PTC's board approved a new $2 billion share repurchase program effective for FY27–FY28, in addition to targeting $1.225B–$1.325B in FY26 repurchases. Implication: strong capital return signal; share count reduction is a meaningful EPS tailwind and reflects management's conviction in long-term business durability.</w:t>
      </w:r>
    </w:p>
    <w:p>
      <w:pPr>
        <w:pStyle w:val="ListBullet"/>
        <w:ind w:left="360" w:hanging="360"/>
      </w:pPr>
      <w:r>
        <w:rPr>
          <w:rFonts w:ascii="Calibri" w:hAnsi="Calibri"/>
          <w:b/>
          <w:color w:val="525866"/>
          <w:sz w:val="22"/>
        </w:rPr>
        <w:t xml:space="preserve">Autodesk MaintainX Acquisition ($3.6B, announced late May 2026): </w:t>
      </w:r>
      <w:r>
        <w:rPr>
          <w:rFonts w:ascii="Calibri" w:hAnsi="Calibri"/>
          <w:color w:val="525866"/>
          <w:sz w:val="22"/>
        </w:rPr>
        <w:t>Autodesk announced its largest-ever acquisition to expand into the "operate" phase of the product lifecycle, directly adjacent to PTC's ServiceMax SLM business. Implication: validates the large SLM market opportunity but signals increased competitive pressure from a well-resourced rival.</w:t>
      </w:r>
    </w:p>
    <w:p>
      <w:pPr>
        <w:pStyle w:val="ListBullet"/>
        <w:ind w:left="360" w:hanging="360"/>
      </w:pPr>
      <w:r>
        <w:rPr>
          <w:rFonts w:ascii="Calibri" w:hAnsi="Calibri"/>
          <w:b/>
          <w:color w:val="525866"/>
          <w:sz w:val="22"/>
        </w:rPr>
        <w:t xml:space="preserve">Earnings Date Announcement (July 8, 2026): </w:t>
      </w:r>
      <w:r>
        <w:rPr>
          <w:rFonts w:ascii="Calibri" w:hAnsi="Calibri"/>
          <w:color w:val="525866"/>
          <w:sz w:val="22"/>
        </w:rPr>
        <w:t>PTC confirmed Q3 FY26 results will be released July 29, 2026 after market close, with a conference call at 5:00 PM ET. No pre-announcement or guidance update was issued alongside the announcement.</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Q2 earnings is minimal — a single open-market sale by the Chief Accounting Officer of modest size. </w:t>
      </w:r>
      <w:r>
        <w:rPr>
          <w:rFonts w:ascii="Calibri" w:hAnsi="Calibri"/>
          <w:b/>
          <w:color w:val="525866"/>
          <w:sz w:val="22"/>
        </w:rPr>
        <w:t>No open-market buys and no clustered selling by senior executives</w:t>
      </w:r>
      <w:r>
        <w:rPr>
          <w:rFonts w:ascii="Calibri" w:hAnsi="Calibri"/>
          <w:color w:val="525866"/>
          <w:sz w:val="22"/>
        </w:rPr>
        <w:t>; the absence of discretionary selling by the CEO or CFO during a period of significant stock weakness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Alice Christenson</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816 shares (~$111K at ~$136/share)</w:t>
            </w:r>
          </w:p>
        </w:tc>
        <w:tc>
          <w:tcPr>
            <w:tcW w:type="dxa" w:w="1440"/>
          </w:tcPr>
          <w:p>
            <w:r>
              <w:rPr>
                <w:rFonts w:ascii="Calibri" w:hAnsi="Calibri"/>
                <w:sz w:val="22"/>
              </w:rPr>
              <w:t>May 12, 2026</w:t>
            </w:r>
          </w:p>
        </w:tc>
        <w:tc>
          <w:tcPr>
            <w:tcW w:type="dxa" w:w="1440"/>
          </w:tcPr>
          <w:p>
            <w:r>
              <w:rPr>
                <w:rFonts w:ascii="Calibri" w:hAnsi="Calibri"/>
                <w:sz w:val="22"/>
              </w:rPr>
              <w:t>Discretionary sale (not flagged as 10b5-1 plan); modest size relative to remaining holdings of 1,265 shares; filed May 12, 2026</w:t>
            </w:r>
          </w:p>
        </w:tc>
      </w:tr>
    </w:tbl>
    <w:p>
      <w:r>
        <w:rPr>
          <w:rFonts w:ascii="Calibri" w:hAnsi="Calibri"/>
          <w:i/>
          <w:color w:val="525866"/>
          <w:sz w:val="22"/>
        </w:rPr>
        <w:t>Source: SEC Form 4 Filing — Alice Christenson (PTC), filed May 12, 2026.</w:t>
      </w:r>
    </w:p>
    <w:p>
      <w:r>
        <w:rPr>
          <w:rFonts w:ascii="Calibri" w:hAnsi="Calibri"/>
          <w:color w:val="525866"/>
          <w:sz w:val="22"/>
        </w:rPr>
        <w:t>No open-market purchases were filed by any PTC insider during the period from Q2 earnings (May 6, 2026) through July 28, 2026. The single sale by the Chief Accounting Officer is modest in size and context (selling 39% of remaining holdings post-transaction), and does not represent a meaningful negative signal. The absence of any buying during a period when the stock declined ~17% from post-earnings highs is notable but not unusual for executives subject to trading window restrictions. No 10b5-1 plan initiations were identified in the search window.</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