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PWR (Quanta Services) before writing the preview. Let me gather recent filings, earnings history, and news.I have detailed Q1 financials. Now let me get the Q1 earnings call transcript for management color and recent news/stock performance.The stock has fallen sharply into the print (from ~</w:t>
      </w:r>
      <m:oMath>
        <m:r>
          <m:t>654</m:t>
        </m:r>
        <m:r>
          <m:t>o</m:t>
        </m:r>
        <m:r>
          <m:t>n</m:t>
        </m:r>
        <m:r>
          <m:t>7</m:t>
        </m:r>
        <m:r>
          <m:rPr>
            <m:sty m:val="p"/>
          </m:rPr>
          <m:t>/</m:t>
        </m:r>
        <m:r>
          <m:t>23</m:t>
        </m:r>
        <m:r>
          <m:t>t</m:t>
        </m:r>
        <m:r>
          <m:t>o</m:t>
        </m:r>
        <m:r>
          <m:t> </m:t>
        </m:r>
      </m:oMath>
      <w:r>
        <w:t xml:space="preserve">569 on 7/29). Let me check recent news for context and peer reads.Let me quickly grab the year-ago Q2 2025 actuals for accurate YoY framing.# Quanta Services (PWR) — Q2 2026 Earnings Preview</w:t>
      </w:r>
    </w:p>
    <w:p>
      <w:pPr>
        <w:pStyle w:val="BodyText"/>
      </w:pP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9:00 a.m. ET</w:t>
      </w:r>
      <w:r>
        <w:t xml:space="preserve"> </w:t>
      </w:r>
      <w:r>
        <w:rPr>
          <w:b/>
          <w:bCs/>
        </w:rPr>
        <w:t xml:space="preserve">Stock:</w:t>
      </w:r>
      <w:r>
        <w:t xml:space="preserve"> </w:t>
      </w:r>
      <w:r>
        <w:t xml:space="preserve">~$569 (close 7/29/26) |</w:t>
      </w:r>
      <w:r>
        <w:t xml:space="preserve"> </w:t>
      </w:r>
      <w:r>
        <w:rPr>
          <w:b/>
          <w:bCs/>
        </w:rPr>
        <w:t xml:space="preserve">Segments:</w:t>
      </w:r>
      <w:r>
        <w:t xml:space="preserve"> </w:t>
      </w:r>
      <w:r>
        <w:t xml:space="preserve">Electric Infrastructure Solutions; Underground Utility &amp; Infrastructure Solutions</w:t>
      </w:r>
    </w:p>
    <w:p>
      <w:r>
        <w:pict>
          <v:rect style="width:0;height:1.5pt" o:hralign="center" o:hrstd="t" o:hr="t"/>
        </w:pict>
      </w:r>
    </w:p>
    <w:bookmarkStart w:id="9" w:name="the-setup-in-one-line"/>
    <w:p>
      <w:pPr>
        <w:pStyle w:val="Heading2"/>
      </w:pPr>
      <w:r>
        <w:t xml:space="preserve">The setup in one line</w:t>
      </w:r>
    </w:p>
    <w:p>
      <w:pPr>
        <w:pStyle w:val="FirstParagraph"/>
      </w:pPr>
      <w:r>
        <w:t xml:space="preserve">Quanta enters this print as one of the market's premier "AI-grid/electrification" compounders, but it does so with the stock ~28% below its early-May high (~$785) and down sharply over the past two weeks — a de-rating driven far more by a wobble in AI/tech sentiment (the NVDA/SK Hynix "circular-financing" and capex-ROI anxiety) than by anything company-specific. That gap between fundamental momentum and share-price action is the central tension going into the report.</w:t>
      </w:r>
    </w:p>
    <w:p>
      <w:r>
        <w:pict>
          <v:rect style="width:0;height:1.5pt" o:hralign="center" o:hrstd="t" o:hr="t"/>
        </w:pict>
      </w:r>
    </w:p>
    <w:bookmarkEnd w:id="9"/>
    <w:bookmarkStart w:id="10" w:name="what-the-street-expects"/>
    <w:p>
      <w:pPr>
        <w:pStyle w:val="Heading2"/>
      </w:pPr>
      <w:r>
        <w:t xml:space="preserve">What the Street expects</w:t>
      </w:r>
    </w:p>
    <w:p>
      <w:pPr>
        <w:pStyle w:val="FirstParagraph"/>
      </w:pPr>
      <w:r>
        <w:t xml:space="preserve">Per the pre-earnings consensus circulating on 7/24, analysts are looking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Y/Y</w:t>
            </w:r>
          </w:p>
        </w:tc>
      </w:tr>
      <w:tr>
        <w:tc>
          <w:tcPr/>
          <w:p>
            <w:pPr>
              <w:pStyle w:val="Compact"/>
            </w:pPr>
            <w:r>
              <w:t xml:space="preserve">Adjusted diluted EPS</w:t>
            </w:r>
          </w:p>
        </w:tc>
        <w:tc>
          <w:tcPr/>
          <w:p>
            <w:pPr>
              <w:pStyle w:val="Compact"/>
            </w:pPr>
            <w:r>
              <w:rPr>
                <w:b/>
                <w:bCs/>
              </w:rPr>
              <w:t xml:space="preserve">$3.27</w:t>
            </w:r>
          </w:p>
        </w:tc>
        <w:tc>
          <w:tcPr/>
          <w:p>
            <w:pPr>
              <w:pStyle w:val="Compact"/>
            </w:pPr>
            <w:r>
              <w:t xml:space="preserve">$2.48</w:t>
            </w:r>
          </w:p>
        </w:tc>
        <w:tc>
          <w:tcPr/>
          <w:p>
            <w:pPr>
              <w:pStyle w:val="Compact"/>
            </w:pPr>
            <w:r>
              <w:t xml:space="preserve">~+32%</w:t>
            </w:r>
          </w:p>
        </w:tc>
      </w:tr>
      <w:tr>
        <w:tc>
          <w:tcPr/>
          <w:p>
            <w:pPr>
              <w:pStyle w:val="Compact"/>
            </w:pPr>
            <w:r>
              <w:t xml:space="preserve">Revenue</w:t>
            </w:r>
          </w:p>
        </w:tc>
        <w:tc>
          <w:tcPr/>
          <w:p>
            <w:pPr>
              <w:pStyle w:val="Compact"/>
            </w:pPr>
            <w:r>
              <w:rPr>
                <w:b/>
                <w:bCs/>
              </w:rPr>
              <w:t xml:space="preserve">~$8.55B</w:t>
            </w:r>
            <w:r>
              <w:t xml:space="preserve"> </w:t>
            </w:r>
            <w:r>
              <w:t xml:space="preserve">(+26%)</w:t>
            </w:r>
          </w:p>
        </w:tc>
        <w:tc>
          <w:tcPr/>
          <w:p>
            <w:pPr>
              <w:pStyle w:val="Compact"/>
            </w:pPr>
            <w:r>
              <w:t xml:space="preserve">$6.77B</w:t>
            </w:r>
          </w:p>
        </w:tc>
        <w:tc>
          <w:tcPr/>
          <w:p>
            <w:pPr>
              <w:pStyle w:val="Compact"/>
            </w:pPr>
            <w:r>
              <w:t xml:space="preserve">+26%</w:t>
            </w:r>
          </w:p>
        </w:tc>
      </w:tr>
      <w:tr>
        <w:tc>
          <w:tcPr/>
          <w:p>
            <w:pPr>
              <w:pStyle w:val="Compact"/>
            </w:pPr>
            <w:r>
              <w:t xml:space="preserve">Total backlog</w:t>
            </w:r>
          </w:p>
        </w:tc>
        <w:tc>
          <w:tcPr/>
          <w:p>
            <w:pPr>
              <w:pStyle w:val="Compact"/>
            </w:pPr>
            <w:r>
              <w:rPr>
                <w:b/>
                <w:bCs/>
              </w:rPr>
              <w:t xml:space="preserve">~$50.4B</w:t>
            </w:r>
            <w:r>
              <w:t xml:space="preserve"> </w:t>
            </w:r>
            <w:r>
              <w:t xml:space="preserve">(+40.5%)</w:t>
            </w:r>
          </w:p>
        </w:tc>
        <w:tc>
          <w:tcPr/>
          <w:p>
            <w:pPr>
              <w:pStyle w:val="Compact"/>
            </w:pPr>
            <w:r>
              <w:t xml:space="preserve">$35.8B</w:t>
            </w:r>
          </w:p>
        </w:tc>
        <w:tc>
          <w:tcPr/>
          <w:p>
            <w:pPr>
              <w:pStyle w:val="Compact"/>
            </w:pPr>
            <w:r>
              <w:t xml:space="preserve">+40.5%</w:t>
            </w:r>
          </w:p>
        </w:tc>
      </w:tr>
    </w:tbl>
    <w:p>
      <w:pPr>
        <w:pStyle w:val="BodyText"/>
      </w:pPr>
      <w:r>
        <w:t xml:space="preserve">For reference, Q2 2025 delivered revenue of $6.77B, GAAP diluted EPS of $1.52, adjusted diluted EPS of $2.48, and adjusted EBITDA of $668.8M, with record total backlog of $35.8B at the time.</w:t>
      </w:r>
    </w:p>
    <w:p>
      <w:r>
        <w:pict>
          <v:rect style="width:0;height:1.5pt" o:hralign="center" o:hrstd="t" o:hr="t"/>
        </w:pict>
      </w:r>
    </w:p>
    <w:bookmarkEnd w:id="10"/>
    <w:bookmarkStart w:id="11" w:name="X15d2ec26c502a49c7fa599f1a77cd01f27d51a8"/>
    <w:p>
      <w:pPr>
        <w:pStyle w:val="Heading2"/>
      </w:pPr>
      <w:r>
        <w:t xml:space="preserve">Why expectations are elevated: the Q1 2026 springboard</w:t>
      </w:r>
    </w:p>
    <w:p>
      <w:pPr>
        <w:pStyle w:val="FirstParagraph"/>
      </w:pPr>
      <w:r>
        <w:t xml:space="preserve">Q1 2026 (reported 4/30) was a blowout that reset the bar and sent the stock from ~$629 to $728 in a single session:</w:t>
      </w:r>
    </w:p>
    <w:p>
      <w:pPr>
        <w:pStyle w:val="Compact"/>
        <w:numPr>
          <w:ilvl w:val="0"/>
          <w:numId w:val="1001"/>
        </w:numPr>
      </w:pPr>
      <w:r>
        <w:rPr>
          <w:b/>
          <w:bCs/>
        </w:rPr>
        <w:t xml:space="preserve">Revenue $7.87B</w:t>
      </w:r>
      <w:r>
        <w:t xml:space="preserve">, +26% Y/Y — a record first quarter.</w:t>
      </w:r>
    </w:p>
    <w:p>
      <w:pPr>
        <w:pStyle w:val="Compact"/>
        <w:numPr>
          <w:ilvl w:val="0"/>
          <w:numId w:val="1001"/>
        </w:numPr>
      </w:pPr>
      <w:r>
        <w:rPr>
          <w:b/>
          <w:bCs/>
        </w:rPr>
        <w:t xml:space="preserve">Adjusted diluted EPS $2.68</w:t>
      </w:r>
      <w:r>
        <w:t xml:space="preserve"> </w:t>
      </w:r>
      <w:r>
        <w:t xml:space="preserve">vs. $1.78 (+51%); GAAP diluted EPS $1.45.</w:t>
      </w:r>
    </w:p>
    <w:p>
      <w:pPr>
        <w:pStyle w:val="Compact"/>
        <w:numPr>
          <w:ilvl w:val="0"/>
          <w:numId w:val="1001"/>
        </w:numPr>
      </w:pPr>
      <w:r>
        <w:rPr>
          <w:b/>
          <w:bCs/>
        </w:rPr>
        <w:t xml:space="preserve">Adjusted EBITDA $686.4M</w:t>
      </w:r>
      <w:r>
        <w:t xml:space="preserve"> </w:t>
      </w:r>
      <w:r>
        <w:t xml:space="preserve">vs. $503.9M.</w:t>
      </w:r>
    </w:p>
    <w:p>
      <w:pPr>
        <w:pStyle w:val="Compact"/>
        <w:numPr>
          <w:ilvl w:val="0"/>
          <w:numId w:val="1001"/>
        </w:numPr>
      </w:pPr>
      <w:r>
        <w:rPr>
          <w:b/>
          <w:bCs/>
        </w:rPr>
        <w:t xml:space="preserve">Record backlog of $48.5B</w:t>
      </w:r>
      <w:r>
        <w:t xml:space="preserve">; RPO of $26.2B.</w:t>
      </w:r>
    </w:p>
    <w:p>
      <w:pPr>
        <w:pStyle w:val="Compact"/>
        <w:numPr>
          <w:ilvl w:val="0"/>
          <w:numId w:val="1001"/>
        </w:numPr>
      </w:pPr>
      <w:r>
        <w:t xml:space="preserve">Management</w:t>
      </w:r>
      <w:r>
        <w:t xml:space="preserve"> </w:t>
      </w:r>
      <w:r>
        <w:rPr>
          <w:b/>
          <w:bCs/>
        </w:rPr>
        <w:t xml:space="preserve">raised substantially all FY26 guidance</w:t>
      </w:r>
      <w:r>
        <w:t xml:space="preserve"> </w:t>
      </w:r>
      <w:r>
        <w:t xml:space="preserve">on the strength and "improved visibility."</w:t>
      </w:r>
    </w:p>
    <w:p>
      <w:pPr>
        <w:pStyle w:val="FirstParagraph"/>
      </w:pPr>
      <w:r>
        <w:t xml:space="preserve">Notably, management stressed the Q1 beat came with</w:t>
      </w:r>
      <w:r>
        <w:t xml:space="preserve"> </w:t>
      </w:r>
      <w:r>
        <w:rPr>
          <w:b/>
          <w:bCs/>
        </w:rPr>
        <w:t xml:space="preserve">zero acquisition contribution</w:t>
      </w:r>
      <w:r>
        <w:t xml:space="preserve"> </w:t>
      </w:r>
      <w:r>
        <w:t xml:space="preserve">in the quarter and ~30% GAAP EPS growth — i.e., organically driven — and Duke Austin flagged that seasonality is flattening (Q1 revenue didn't fall off as it historically does), which matters for how investors model the seasonally stronger Q2/Q3.</w:t>
      </w:r>
    </w:p>
    <w:p>
      <w:r>
        <w:pict>
          <v:rect style="width:0;height:1.5pt" o:hralign="center" o:hrstd="t" o:hr="t"/>
        </w:pict>
      </w:r>
    </w:p>
    <w:bookmarkEnd w:id="11"/>
    <w:bookmarkStart w:id="12" w:name="X02210705ead77a196d85726bb36d016a3a4ab16"/>
    <w:p>
      <w:pPr>
        <w:pStyle w:val="Heading2"/>
      </w:pPr>
      <w:r>
        <w:t xml:space="preserve">The full-year guide — the number that likely moves the stock</w:t>
      </w:r>
    </w:p>
    <w:p>
      <w:pPr>
        <w:pStyle w:val="FirstParagraph"/>
      </w:pPr>
      <w:r>
        <w:t xml:space="preserve">At Q1, PWR raised FY26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FY2026 guidance (raised at Q1)</w:t>
            </w:r>
          </w:p>
        </w:tc>
        <w:tc>
          <w:tcPr/>
          <w:p>
            <w:pPr>
              <w:pStyle w:val="Compact"/>
            </w:pPr>
            <w:r>
              <w:t xml:space="preserve">Low</w:t>
            </w:r>
          </w:p>
        </w:tc>
        <w:tc>
          <w:tcPr/>
          <w:p>
            <w:pPr>
              <w:pStyle w:val="Compact"/>
            </w:pPr>
            <w:r>
              <w:t xml:space="preserve">High</w:t>
            </w:r>
          </w:p>
        </w:tc>
      </w:tr>
      <w:tr>
        <w:tc>
          <w:tcPr/>
          <w:p>
            <w:pPr>
              <w:pStyle w:val="Compact"/>
            </w:pPr>
            <w:r>
              <w:t xml:space="preserve">Revenue</w:t>
            </w:r>
          </w:p>
        </w:tc>
        <w:tc>
          <w:tcPr/>
          <w:p>
            <w:pPr>
              <w:pStyle w:val="Compact"/>
            </w:pPr>
            <w:r>
              <w:t xml:space="preserve">$34.7B</w:t>
            </w:r>
          </w:p>
        </w:tc>
        <w:tc>
          <w:tcPr/>
          <w:p>
            <w:pPr>
              <w:pStyle w:val="Compact"/>
            </w:pPr>
            <w:r>
              <w:t xml:space="preserve">$35.2B</w:t>
            </w:r>
          </w:p>
        </w:tc>
      </w:tr>
      <w:tr>
        <w:tc>
          <w:tcPr/>
          <w:p>
            <w:pPr>
              <w:pStyle w:val="Compact"/>
            </w:pPr>
            <w:r>
              <w:t xml:space="preserve">Adjusted diluted EPS</w:t>
            </w:r>
          </w:p>
        </w:tc>
        <w:tc>
          <w:tcPr/>
          <w:p>
            <w:pPr>
              <w:pStyle w:val="Compact"/>
            </w:pPr>
            <w:r>
              <w:t xml:space="preserve">$13.55</w:t>
            </w:r>
          </w:p>
        </w:tc>
        <w:tc>
          <w:tcPr/>
          <w:p>
            <w:pPr>
              <w:pStyle w:val="Compact"/>
            </w:pPr>
            <w:r>
              <w:t xml:space="preserve">$14.25</w:t>
            </w:r>
          </w:p>
        </w:tc>
      </w:tr>
      <w:tr>
        <w:tc>
          <w:tcPr/>
          <w:p>
            <w:pPr>
              <w:pStyle w:val="Compact"/>
            </w:pPr>
            <w:r>
              <w:t xml:space="preserve">Adjusted EBITDA</w:t>
            </w:r>
          </w:p>
        </w:tc>
        <w:tc>
          <w:tcPr/>
          <w:p>
            <w:pPr>
              <w:pStyle w:val="Compact"/>
            </w:pPr>
            <w:r>
              <w:t xml:space="preserve">$3.49B</w:t>
            </w:r>
          </w:p>
        </w:tc>
        <w:tc>
          <w:tcPr/>
          <w:p>
            <w:pPr>
              <w:pStyle w:val="Compact"/>
            </w:pPr>
            <w:r>
              <w:t xml:space="preserve">$3.65B</w:t>
            </w:r>
          </w:p>
        </w:tc>
      </w:tr>
      <w:tr>
        <w:tc>
          <w:tcPr/>
          <w:p>
            <w:pPr>
              <w:pStyle w:val="Compact"/>
            </w:pPr>
            <w:r>
              <w:t xml:space="preserve">GAAP diluted EPS</w:t>
            </w:r>
          </w:p>
        </w:tc>
        <w:tc>
          <w:tcPr/>
          <w:p>
            <w:pPr>
              <w:pStyle w:val="Compact"/>
            </w:pPr>
            <w:r>
              <w:t xml:space="preserve">$9.17</w:t>
            </w:r>
          </w:p>
        </w:tc>
        <w:tc>
          <w:tcPr/>
          <w:p>
            <w:pPr>
              <w:pStyle w:val="Compact"/>
            </w:pPr>
            <w:r>
              <w:t xml:space="preserve">$9.87</w:t>
            </w:r>
          </w:p>
        </w:tc>
      </w:tr>
      <w:tr>
        <w:tc>
          <w:tcPr/>
          <w:p>
            <w:pPr>
              <w:pStyle w:val="Compact"/>
            </w:pPr>
            <w:r>
              <w:t xml:space="preserve">Operating cash flow</w:t>
            </w:r>
          </w:p>
        </w:tc>
        <w:tc>
          <w:tcPr/>
          <w:p>
            <w:pPr>
              <w:pStyle w:val="Compact"/>
            </w:pPr>
            <w:r>
              <w:t xml:space="preserve">$2.35B</w:t>
            </w:r>
          </w:p>
        </w:tc>
        <w:tc>
          <w:tcPr/>
          <w:p>
            <w:pPr>
              <w:pStyle w:val="Compact"/>
            </w:pPr>
            <w:r>
              <w:t xml:space="preserve">$2.85B</w:t>
            </w:r>
          </w:p>
        </w:tc>
      </w:tr>
      <w:tr>
        <w:tc>
          <w:tcPr/>
          <w:p>
            <w:pPr>
              <w:pStyle w:val="Compact"/>
            </w:pPr>
            <w:r>
              <w:t xml:space="preserve">Free cash flow</w:t>
            </w:r>
          </w:p>
        </w:tc>
        <w:tc>
          <w:tcPr/>
          <w:p>
            <w:pPr>
              <w:pStyle w:val="Compact"/>
            </w:pPr>
            <w:r>
              <w:t xml:space="preserve">$1.55B</w:t>
            </w:r>
          </w:p>
        </w:tc>
        <w:tc>
          <w:tcPr/>
          <w:p>
            <w:pPr>
              <w:pStyle w:val="Compact"/>
            </w:pPr>
            <w:r>
              <w:t xml:space="preserve">$2.05B</w:t>
            </w:r>
          </w:p>
        </w:tc>
      </w:tr>
    </w:tbl>
    <w:p>
      <w:pPr>
        <w:pStyle w:val="BodyText"/>
      </w:pPr>
      <w:r>
        <w:rPr>
          <w:b/>
          <w:bCs/>
        </w:rPr>
        <w:t xml:space="preserve">What to watch:</w:t>
      </w:r>
    </w:p>
    <w:p>
      <w:pPr>
        <w:pStyle w:val="Compact"/>
        <w:numPr>
          <w:ilvl w:val="0"/>
          <w:numId w:val="1002"/>
        </w:numPr>
      </w:pPr>
      <w:r>
        <w:rPr>
          <w:b/>
          <w:bCs/>
        </w:rPr>
        <w:t xml:space="preserve">Another raise is the base case.</w:t>
      </w:r>
      <w:r>
        <w:t xml:space="preserve"> </w:t>
      </w:r>
      <w:r>
        <w:t xml:space="preserve">PWR raised at both Q4'25 and Q1'26; a Q1 adj-EPS of</w:t>
      </w:r>
      <w:r>
        <w:t xml:space="preserve"> </w:t>
      </w:r>
      <m:oMath>
        <m:r>
          <m:t>2.68</m:t>
        </m:r>
        <m:r>
          <m:t>p</m:t>
        </m:r>
        <m:r>
          <m:t>l</m:t>
        </m:r>
        <m:r>
          <m:t>u</m:t>
        </m:r>
        <m:r>
          <m:t>s</m:t>
        </m:r>
        <m:r>
          <m:t>a</m:t>
        </m:r>
        <m:r>
          <m:t> </m:t>
        </m:r>
      </m:oMath>
      <w:r>
        <w:t xml:space="preserve">3.27 Q2 consensus would put 1H around ~</w:t>
      </w:r>
      <m:oMath>
        <m:r>
          <m:t>5.95</m:t>
        </m:r>
        <m:r>
          <m:rPr>
            <m:sty m:val="p"/>
          </m:rPr>
          <m:t>,</m:t>
        </m:r>
        <m:r>
          <m:t>l</m:t>
        </m:r>
        <m:r>
          <m:t>e</m:t>
        </m:r>
        <m:r>
          <m:t>a</m:t>
        </m:r>
        <m:r>
          <m:t>v</m:t>
        </m:r>
        <m:r>
          <m:t>i</m:t>
        </m:r>
        <m:r>
          <m:t>n</m:t>
        </m:r>
        <m:r>
          <m:t>g</m:t>
        </m:r>
        <m:r>
          <m:t>a</m:t>
        </m:r>
        <m:r>
          <m:t>v</m:t>
        </m:r>
        <m:r>
          <m:t>e</m:t>
        </m:r>
        <m:r>
          <m:t>r</m:t>
        </m:r>
        <m:r>
          <m:t>y</m:t>
        </m:r>
        <m:r>
          <m:t>a</m:t>
        </m:r>
        <m:r>
          <m:t>c</m:t>
        </m:r>
        <m:r>
          <m:t>h</m:t>
        </m:r>
        <m:r>
          <m:t>i</m:t>
        </m:r>
        <m:r>
          <m:t>e</m:t>
        </m:r>
        <m:r>
          <m:t>v</m:t>
        </m:r>
        <m:r>
          <m:t>a</m:t>
        </m:r>
        <m:r>
          <m:t>b</m:t>
        </m:r>
        <m:r>
          <m:t>l</m:t>
        </m:r>
        <m:r>
          <m:t>e</m:t>
        </m:r>
        <m:r>
          <m:t>b</m:t>
        </m:r>
        <m:r>
          <m:t>a</m:t>
        </m:r>
        <m:r>
          <m:t>c</m:t>
        </m:r>
        <m:r>
          <m:t>k</m:t>
        </m:r>
        <m:r>
          <m:t>h</m:t>
        </m:r>
        <m:r>
          <m:t>a</m:t>
        </m:r>
        <m:r>
          <m:t>l</m:t>
        </m:r>
        <m:r>
          <m:t>f</m:t>
        </m:r>
        <m:r>
          <m:t>a</m:t>
        </m:r>
        <m:r>
          <m:t>g</m:t>
        </m:r>
        <m:r>
          <m:t>a</m:t>
        </m:r>
        <m:r>
          <m:t>i</m:t>
        </m:r>
        <m:r>
          <m:t>n</m:t>
        </m:r>
        <m:r>
          <m:t>s</m:t>
        </m:r>
        <m:r>
          <m:t>t</m:t>
        </m:r>
        <m:r>
          <m:t>a</m:t>
        </m:r>
        <m:r>
          <m:t> </m:t>
        </m:r>
      </m:oMath>
      <w:r>
        <w:t xml:space="preserve">13.90 midpoint. A raise is largely expected, so the bar is on</w:t>
      </w:r>
      <w:r>
        <w:t xml:space="preserve"> </w:t>
      </w:r>
      <w:r>
        <w:rPr>
          <w:i/>
          <w:iCs/>
        </w:rPr>
        <w:t xml:space="preserve">magnitude</w:t>
      </w:r>
      <w:r>
        <w:t xml:space="preserve"> </w:t>
      </w:r>
      <w:r>
        <w:t xml:space="preserve">— a token raise could disappoint a stock trading at ~41x forward adjusted EPS.</w:t>
      </w:r>
    </w:p>
    <w:p>
      <w:pPr>
        <w:pStyle w:val="Compact"/>
        <w:numPr>
          <w:ilvl w:val="0"/>
          <w:numId w:val="1002"/>
        </w:numPr>
      </w:pPr>
      <w:r>
        <w:rPr>
          <w:b/>
          <w:bCs/>
        </w:rPr>
        <w:t xml:space="preserve">M&amp;A upside is NOT in the guide.</w:t>
      </w:r>
      <w:r>
        <w:t xml:space="preserve"> </w:t>
      </w:r>
      <w:r>
        <w:t xml:space="preserve">Management was explicit that guidance reflects "exactly what the business looks like today," with no acquisitions contemplated, yet they expect deals over the next 9 months that would be additive. PWR did no deals in Q1, so watch for M&amp;A announcements alongside the print.</w:t>
      </w:r>
    </w:p>
    <w:p>
      <w:pPr>
        <w:pStyle w:val="Compact"/>
        <w:numPr>
          <w:ilvl w:val="0"/>
          <w:numId w:val="1002"/>
        </w:numPr>
      </w:pPr>
      <w:r>
        <w:rPr>
          <w:b/>
          <w:bCs/>
        </w:rPr>
        <w:t xml:space="preserve">Free cash flow was left unchanged at Q1</w:t>
      </w:r>
      <w:r>
        <w:t xml:space="preserve"> </w:t>
      </w:r>
      <w:r>
        <w:t xml:space="preserve">despite the beat; CFO Jayshree Desai signaled "greater confidence about being at the higher end." A FCF-guide bump would be a positive tell.</w:t>
      </w:r>
    </w:p>
    <w:p>
      <w:r>
        <w:pict>
          <v:rect style="width:0;height:1.5pt" o:hralign="center" o:hrstd="t" o:hr="t"/>
        </w:pict>
      </w:r>
    </w:p>
    <w:bookmarkEnd w:id="12"/>
    <w:bookmarkStart w:id="13" w:name="key-debates--watch-items-on-the-call"/>
    <w:p>
      <w:pPr>
        <w:pStyle w:val="Heading2"/>
      </w:pPr>
      <w:r>
        <w:t xml:space="preserve">Key debates &amp; watch items on the call</w:t>
      </w:r>
    </w:p>
    <w:p>
      <w:pPr>
        <w:pStyle w:val="FirstParagraph"/>
      </w:pPr>
      <w:r>
        <w:rPr>
          <w:b/>
          <w:bCs/>
        </w:rPr>
        <w:t xml:space="preserve">1. Backlog trajectory — and the CCGT "stacking" story.</w:t>
      </w:r>
      <w:r>
        <w:t xml:space="preserve"> </w:t>
      </w:r>
      <w:r>
        <w:t xml:space="preserve">Backlog is the single most-watched metric. Consensus ~$50.4B implies another sequential record from</w:t>
      </w:r>
      <w:r>
        <w:t xml:space="preserve"> </w:t>
      </w:r>
      <w:r>
        <w:t xml:space="preserve">$48.5B. Management has cautioned that backlog won't grow every quarter but should rise on a Y/Y/CAGR basis. The bigger upside lever: **gas generation (combined-cycle / CCGTs) is essentially NOT yet in backlog** — Austin said awards should start converting "the later half of the year and beyond" as air permits progress. Any early conversion (e.g., NiSource GenCo / the ~$</w:t>
      </w:r>
      <w:r>
        <w:t xml:space="preserve">5.7B-and-growing Midwest program, AEP 765kV) would be a strong signal.</w:t>
      </w:r>
    </w:p>
    <w:p>
      <w:pPr>
        <w:pStyle w:val="BodyText"/>
      </w:pPr>
      <w:r>
        <w:rPr>
          <w:b/>
          <w:bCs/>
        </w:rPr>
        <w:t xml:space="preserve">2. Margins — especially Electric and Underground.</w:t>
      </w:r>
    </w:p>
    <w:p>
      <w:pPr>
        <w:pStyle w:val="Compact"/>
        <w:numPr>
          <w:ilvl w:val="0"/>
          <w:numId w:val="1003"/>
        </w:numPr>
      </w:pPr>
      <w:r>
        <w:t xml:space="preserve">Electric operating margin was 10.1% in Q2'25 but seasonally lower at 8.7% in Q1'26 — watch for the seasonal step-up and whether large-load/data-center mix and 765kV work lift it.</w:t>
      </w:r>
    </w:p>
    <w:p>
      <w:pPr>
        <w:pStyle w:val="Compact"/>
        <w:numPr>
          <w:ilvl w:val="0"/>
          <w:numId w:val="1003"/>
        </w:numPr>
      </w:pPr>
      <w:r>
        <w:rPr>
          <w:b/>
          <w:bCs/>
        </w:rPr>
        <w:t xml:space="preserve">Underground &amp; Infrastructure</w:t>
      </w:r>
      <w:r>
        <w:t xml:space="preserve"> </w:t>
      </w:r>
      <w:r>
        <w:t xml:space="preserve">margin (7.5% in Q1'26, aided by DSI mechanical mix) is the swing factor; management believes it can "operate in double digits." Continued U&amp;I margin expansion has been a key driver and a recurring bull point.</w:t>
      </w:r>
    </w:p>
    <w:p>
      <w:pPr>
        <w:pStyle w:val="FirstParagraph"/>
      </w:pPr>
      <w:r>
        <w:rPr>
          <w:b/>
          <w:bCs/>
        </w:rPr>
        <w:t xml:space="preserve">3. Large-load / data center demand durability.</w:t>
      </w:r>
      <w:r>
        <w:t xml:space="preserve"> </w:t>
      </w:r>
      <w:r>
        <w:t xml:space="preserve">This is the crux of the sentiment risk. On the Q1 call, PWR took its technology/load-center growth outlook up to ~110% and repeatedly cited daily hyperscaler inbounds, bridge power (Bloom, microgrids), and balance-of-plant data-center opportunities. With AI-capex ROI fears pressuring the whole complex, investors will scrutinize any hint of order push-outs, cancellations, or hyperscaler hesitation. Austin's Q1 framing — "the load is real," not seeing "holes in the markets" — will be tested.</w:t>
      </w:r>
    </w:p>
    <w:p>
      <w:pPr>
        <w:pStyle w:val="BodyText"/>
      </w:pPr>
      <w:r>
        <w:rPr>
          <w:b/>
          <w:bCs/>
        </w:rPr>
        <w:t xml:space="preserve">4. Capital allocation / vertical supply chain.</w:t>
      </w:r>
      <w:r>
        <w:t xml:space="preserve"> </w:t>
      </w:r>
      <w:r>
        <w:t xml:space="preserve">Track progress on the</w:t>
      </w:r>
      <w:r>
        <w:t xml:space="preserve"> </w:t>
      </w:r>
      <w:r>
        <w:rPr>
          <w:b/>
          <w:bCs/>
        </w:rPr>
        <w:t xml:space="preserve">$500–700M power-transformer manufacturing buildout</w:t>
      </w:r>
      <w:r>
        <w:t xml:space="preserve"> </w:t>
      </w:r>
      <w:r>
        <w:t xml:space="preserve">(doubling capacity) and the ~6.7M sq ft off-site fabrication/logistics expansion — both pitched as labor-force multipliers and "certainty" differentiators for data-center and 765kV work. Leverage target remains 1.5–2.0x with an investment-grade balance sheet; M&amp;A is the stated primary use of cash.</w:t>
      </w:r>
    </w:p>
    <w:p>
      <w:pPr>
        <w:pStyle w:val="BodyText"/>
      </w:pPr>
      <w:r>
        <w:rPr>
          <w:b/>
          <w:bCs/>
        </w:rPr>
        <w:t xml:space="preserve">5. The 2030 framework.</w:t>
      </w:r>
      <w:r>
        <w:t xml:space="preserve"> </w:t>
      </w:r>
      <w:r>
        <w:t xml:space="preserve">Post-Investor Day (3/31/26), management is anchoring to a</w:t>
      </w:r>
      <w:r>
        <w:t xml:space="preserve"> </w:t>
      </w:r>
      <w:r>
        <w:rPr>
          <w:b/>
          <w:bCs/>
        </w:rPr>
        <w:t xml:space="preserve">"Compounding Model": more than doubling adjusted EPS by 2030, a 15–20% adjusted-EPS CAGR with room to stack above it</w:t>
      </w:r>
      <w:r>
        <w:t xml:space="preserve">, against a claimed ~$2.4T TAM across converging utility, generation and large-load markets. Expect every quarter to be framed as one of "20 quarters" toward that goal.</w:t>
      </w:r>
    </w:p>
    <w:p>
      <w:r>
        <w:pict>
          <v:rect style="width:0;height:1.5pt" o:hralign="center" o:hrstd="t" o:hr="t"/>
        </w:pict>
      </w:r>
    </w:p>
    <w:bookmarkEnd w:id="13"/>
    <w:bookmarkStart w:id="14" w:name="valuation--positioning"/>
    <w:p>
      <w:pPr>
        <w:pStyle w:val="Heading2"/>
      </w:pPr>
      <w:r>
        <w:t xml:space="preserve">Valuation &amp; positioning</w:t>
      </w:r>
    </w:p>
    <w:p>
      <w:pPr>
        <w:pStyle w:val="Compact"/>
        <w:numPr>
          <w:ilvl w:val="0"/>
          <w:numId w:val="1004"/>
        </w:numPr>
      </w:pPr>
      <w:r>
        <w:rPr>
          <w:b/>
          <w:bCs/>
        </w:rPr>
        <w:t xml:space="preserve">Price action:</w:t>
      </w:r>
      <w:r>
        <w:t xml:space="preserve"> </w:t>
      </w:r>
      <w:r>
        <w:t xml:space="preserve">~$569, roughly +29% YTD but ~28% off the May peak. The stock popped ~15% on the Q1 print, then faded with the broader AI trade.</w:t>
      </w:r>
    </w:p>
    <w:p>
      <w:pPr>
        <w:pStyle w:val="Compact"/>
        <w:numPr>
          <w:ilvl w:val="0"/>
          <w:numId w:val="1004"/>
        </w:numPr>
      </w:pPr>
      <w:r>
        <w:rPr>
          <w:b/>
          <w:bCs/>
        </w:rPr>
        <w:t xml:space="preserve">Multiple:</w:t>
      </w:r>
      <w:r>
        <w:t xml:space="preserve"> </w:t>
      </w:r>
      <w:r>
        <w:t xml:space="preserve">~41x the FY26 adjusted-EPS midpoint (~$13.90). Premium valuation leaves little room for a soft guide or backlog disappointment.</w:t>
      </w:r>
    </w:p>
    <w:p>
      <w:pPr>
        <w:pStyle w:val="Compact"/>
        <w:numPr>
          <w:ilvl w:val="0"/>
          <w:numId w:val="1004"/>
        </w:numPr>
      </w:pPr>
      <w:r>
        <w:rPr>
          <w:b/>
          <w:bCs/>
        </w:rPr>
        <w:t xml:space="preserve">Risk/reward framing:</w:t>
      </w:r>
      <w:r>
        <w:t xml:space="preserve"> </w:t>
      </w:r>
      <w:r>
        <w:t xml:space="preserve">A high-quality, high-visibility compounder that has just de-rated on macro/sentiment rather than fundamentals. That can cut both ways — a clean beat-and-raise into a beaten-down, high-beta AI-adjacent name could snap back hard, but a merely in-line quarter risks "sell the news."</w:t>
      </w:r>
    </w:p>
    <w:p>
      <w:r>
        <w:pict>
          <v:rect style="width:0;height:1.5pt" o:hralign="center" o:hrstd="t" o:hr="t"/>
        </w:pict>
      </w:r>
    </w:p>
    <w:bookmarkEnd w:id="14"/>
    <w:bookmarkStart w:id="15" w:name="scorecard-for-the-print"/>
    <w:p>
      <w:pPr>
        <w:pStyle w:val="Heading2"/>
      </w:pPr>
      <w:r>
        <w:t xml:space="preserve">Scorecard for the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Bull case (stock works)</w:t>
            </w:r>
          </w:p>
        </w:tc>
        <w:tc>
          <w:tcPr/>
          <w:p>
            <w:pPr>
              <w:pStyle w:val="Compact"/>
            </w:pPr>
            <w:r>
              <w:t xml:space="preserve">⚠️ Bear/risk case (stock fades)</w:t>
            </w:r>
          </w:p>
        </w:tc>
      </w:tr>
      <w:tr>
        <w:tc>
          <w:tcPr/>
          <w:p>
            <w:pPr>
              <w:pStyle w:val="Compact"/>
            </w:pPr>
            <w:r>
              <w:t xml:space="preserve">Revenue/EPS beat vs. $8.55B / $3.27</w:t>
            </w:r>
          </w:p>
        </w:tc>
        <w:tc>
          <w:tcPr/>
          <w:p>
            <w:pPr>
              <w:pStyle w:val="Compact"/>
            </w:pPr>
            <w:r>
              <w:t xml:space="preserve">In-line quarter at ~41x forward</w:t>
            </w:r>
          </w:p>
        </w:tc>
      </w:tr>
      <w:tr>
        <w:tc>
          <w:tcPr/>
          <w:p>
            <w:pPr>
              <w:pStyle w:val="Compact"/>
            </w:pPr>
            <w:r>
              <w:t xml:space="preserve">Backlog &gt; ~$50.4B, new record + first CCGT awards</w:t>
            </w:r>
          </w:p>
        </w:tc>
        <w:tc>
          <w:tcPr/>
          <w:p>
            <w:pPr>
              <w:pStyle w:val="Compact"/>
            </w:pPr>
            <w:r>
              <w:t xml:space="preserve">Backlog flat/down sequentially; generation awards still "not yet"</w:t>
            </w:r>
          </w:p>
        </w:tc>
      </w:tr>
      <w:tr>
        <w:tc>
          <w:tcPr/>
          <w:p>
            <w:pPr>
              <w:pStyle w:val="Compact"/>
            </w:pPr>
            <w:r>
              <w:t xml:space="preserve">Meaningful FY guide + FCF raise; M&amp;A announced</w:t>
            </w:r>
          </w:p>
        </w:tc>
        <w:tc>
          <w:tcPr/>
          <w:p>
            <w:pPr>
              <w:pStyle w:val="Compact"/>
            </w:pPr>
            <w:r>
              <w:t xml:space="preserve">Token guide raise / FCF unchanged</w:t>
            </w:r>
          </w:p>
        </w:tc>
      </w:tr>
      <w:tr>
        <w:tc>
          <w:tcPr/>
          <w:p>
            <w:pPr>
              <w:pStyle w:val="Compact"/>
            </w:pPr>
            <w:r>
              <w:t xml:space="preserve">Electric margin step-up; U&amp;I toward double digits</w:t>
            </w:r>
          </w:p>
        </w:tc>
        <w:tc>
          <w:tcPr/>
          <w:p>
            <w:pPr>
              <w:pStyle w:val="Compact"/>
            </w:pPr>
            <w:r>
              <w:t xml:space="preserve">Margin/mix softness, cost pressure</w:t>
            </w:r>
          </w:p>
        </w:tc>
      </w:tr>
      <w:tr>
        <w:tc>
          <w:tcPr/>
          <w:p>
            <w:pPr>
              <w:pStyle w:val="Compact"/>
            </w:pPr>
            <w:r>
              <w:t xml:space="preserve">Reaffirmed hyperscaler demand, no push-outs</w:t>
            </w:r>
          </w:p>
        </w:tc>
        <w:tc>
          <w:tcPr/>
          <w:p>
            <w:pPr>
              <w:pStyle w:val="Compact"/>
            </w:pPr>
            <w:r>
              <w:t xml:space="preserve">Any hint of data-center order deferral</w:t>
            </w:r>
          </w:p>
        </w:tc>
      </w:tr>
    </w:tbl>
    <w:p>
      <w:pPr>
        <w:pStyle w:val="BodyText"/>
      </w:pPr>
      <w:r>
        <w:rPr>
          <w:b/>
          <w:bCs/>
        </w:rPr>
        <w:t xml:space="preserve">Bottom line:</w:t>
      </w:r>
      <w:r>
        <w:t xml:space="preserve"> </w:t>
      </w:r>
      <w:r>
        <w:t xml:space="preserve">The fundamental trajectory (record backlog, ~26% revenue growth, ~30–50% adjusted-EPS growth, serial guidance raises, no-M&amp;A-in-guide optionality) is firmly intact; the swing factor is whether the beat-and-raise is large enough to overcome a rich multiple and a jittery AI tape. Backlog composition (CCGT/large-load conversion), the size of any guidance raise, and hyperscaler-demand commentary are the three things most likely to determine the reaction.</w:t>
      </w:r>
    </w:p>
    <w:p>
      <w:pPr>
        <w:pStyle w:val="BodyText"/>
      </w:pPr>
      <w:r>
        <w:rPr>
          <w:i/>
          <w:iCs/>
        </w:rPr>
        <w:t xml:space="preserve">(Note: figures and management commentary are drawn from PWR's Q1 2026 and Q2 2025 earnings releases/calls and pre-earnings consensus; consensus estimates are as reported 7/24/26 and may differ from final Street numbers.)</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2026-07-29T18:36:08Z</dcterms:created>
  <dcterms:modified xsi:type="dcterms:W3CDTF">2026-07-29T18:36:08Z</dcterms:modified>
</cp:coreProperties>
</file>

<file path=docProps/custom.xml><?xml version="1.0" encoding="utf-8"?>
<Properties xmlns="http://schemas.openxmlformats.org/officeDocument/2006/custom-properties" xmlns:vt="http://schemas.openxmlformats.org/officeDocument/2006/docPropsVTypes"/>
</file>