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dig into the Q1 2026 earnings call transcript, earnings release, and investor day for more detail.# Quanta Services (PWR) — Q2 2026 Earnings Preview</w:t>
      </w:r>
      <w:r>
        <w:t xml:space="preserve"> </w:t>
      </w: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Quanta reports Q2 2026 results tomorrow morning against a backdrop of strong underlying fundamentals but a stock that has cooled considerably from its spring highs. Shares ran from roughly $629 just before the Q1 print (April 30) to an intraday-adjusted peak near $785 in mid-May, but have since slid to roughly $569 as of July 29 — a pullback of nearly 30% from the highs, tracking a broader de-rating in AI/data-center-capex-linked infrastructure names amid growing scrutiny of hyperscaler spending plans and circular AI financing concerns. The company has benefited from powerful secular tailwinds related to the AI-driven grid and electrification boom, though shares have recently faded from their highs amid broader tech sector scrutiny.</w:t>
      </w:r>
    </w:p>
    <w:p>
      <w:pPr>
        <w:pStyle w:val="BodyText"/>
      </w:pPr>
      <w:r>
        <w:rPr>
          <w:b/>
          <w:bCs/>
        </w:rPr>
        <w:t xml:space="preserve">Street Consensus for Q2 2026:</w:t>
      </w:r>
      <w:r>
        <w:t xml:space="preserve"> </w:t>
      </w:r>
      <w:r>
        <w:t xml:space="preserve">EPS of $3.27, with revenue growth of +26% to $8.55B and total backlog increasing +40.5% to approximately $50.4B.</w:t>
      </w:r>
    </w:p>
    <w:p>
      <w:pPr>
        <w:pStyle w:val="BodyText"/>
      </w:pPr>
      <w:r>
        <w:t xml:space="preserve">This is a high bar given Quanta has beaten and raised in every recent quarter, including a blowout Q1.</w:t>
      </w:r>
    </w:p>
    <w:p>
      <w:r>
        <w:pict>
          <v:rect style="width:0;height:1.5pt" o:hralign="center" o:hrstd="t" o:hr="t"/>
        </w:pict>
      </w:r>
    </w:p>
    <w:bookmarkEnd w:id="9"/>
    <w:bookmarkStart w:id="10" w:name="what-happened-last-quarter-q1-2026-recap"/>
    <w:p>
      <w:pPr>
        <w:pStyle w:val="Heading2"/>
      </w:pPr>
      <w:r>
        <w:t xml:space="preserve">What Happened Last Quarter (Q1 2026 Recap)</w:t>
      </w:r>
    </w:p>
    <w:p>
      <w:pPr>
        <w:pStyle w:val="FirstParagraph"/>
      </w:pPr>
      <w:r>
        <w:t xml:space="preserve">Quanta's first quarter was a "record-breaking" print across nearly every metric: First Quarter Consolidated Revenues of $7.9 Billion, First Quarter GAAP Diluted EPS of $1.45 and Adjusted Diluted EPS of $2.68, Net Income Attributable to Common Stock of $220.6 Million, Adjusted EBITDA of $686.4 Million, Cash Flow From Operations of $391.7 Million and Free Cash Flow of $184.4 Million, Remaining Performance Obligations (RPO) of $26.2 Billion and Total Backlog of $48.5 Billion.</w:t>
      </w:r>
    </w:p>
    <w:p>
      <w:pPr>
        <w:pStyle w:val="BodyText"/>
      </w:pPr>
      <w:r>
        <w:t xml:space="preserve">Revenue grew roughly 26% y/y and adjusted EPS grew about 51% y/y, with management noting revenue growth and margin performance exceeded our expectations across both segments, demonstrating the power of our differentiated, solutions-based operating model. Segment detail showed the Electric segment growing revenue to $6.47B (82% of sales) with operating margin expanding to 8.7% from 8.3% a year ago, while Underground &amp; Infrastructure revenue grew to $1.41B with a notable margin jump to 7.5% from 6.0%, driven largely by mix and execution from recent acquisitions (DSI, W.T. Byler).</w:t>
      </w:r>
    </w:p>
    <w:p>
      <w:pPr>
        <w:pStyle w:val="BodyText"/>
      </w:pPr>
      <w:r>
        <w:t xml:space="preserve">Following the beat, management raised full-year 2026 guidance: revenue to</w:t>
      </w:r>
      <w:r>
        <w:t xml:space="preserve"> </w:t>
      </w:r>
      <m:oMath>
        <m:r>
          <m:t>34.7</m:t>
        </m:r>
        <m:r>
          <m:rPr>
            <m:sty m:val="p"/>
          </m:rPr>
          <m:t>–</m:t>
        </m:r>
      </m:oMath>
      <w:r>
        <w:rPr>
          <w:b/>
          <w:bCs/>
        </w:rPr>
        <w:t xml:space="preserve">35.2B</w:t>
      </w:r>
      <w:r>
        <w:t xml:space="preserve">, adjusted EBITDA to</w:t>
      </w:r>
      <w:r>
        <w:t xml:space="preserve"> </w:t>
      </w:r>
      <m:oMath>
        <m:r>
          <m:t>3.49</m:t>
        </m:r>
        <m:r>
          <m:rPr>
            <m:sty m:val="p"/>
          </m:rPr>
          <m:t>–</m:t>
        </m:r>
      </m:oMath>
      <w:r>
        <w:rPr>
          <w:b/>
          <w:bCs/>
        </w:rPr>
        <w:t xml:space="preserve">3.65B</w:t>
      </w:r>
      <w:r>
        <w:t xml:space="preserve">, adjusted diluted EPS to</w:t>
      </w:r>
      <w:r>
        <w:t xml:space="preserve"> </w:t>
      </w:r>
      <m:oMath>
        <m:r>
          <m:t>13.55</m:t>
        </m:r>
        <m:r>
          <m:rPr>
            <m:sty m:val="p"/>
          </m:rPr>
          <m:t>–</m:t>
        </m:r>
      </m:oMath>
      <w:r>
        <w:rPr>
          <w:b/>
          <w:bCs/>
        </w:rPr>
        <w:t xml:space="preserve">14.25</w:t>
      </w:r>
      <w:r>
        <w:t xml:space="preserve">, and free cash flow to</w:t>
      </w:r>
      <w:r>
        <w:t xml:space="preserve"> </w:t>
      </w:r>
      <m:oMath>
        <m:r>
          <m:t>1.55</m:t>
        </m:r>
        <m:r>
          <m:rPr>
            <m:sty m:val="p"/>
          </m:rPr>
          <m:t>–</m:t>
        </m:r>
      </m:oMath>
      <w:r>
        <w:rPr>
          <w:b/>
          <w:bCs/>
        </w:rPr>
        <w:t xml:space="preserve">2.05B</w:t>
      </w:r>
      <w:r>
        <w:t xml:space="preserve">.</w:t>
      </w:r>
    </w:p>
    <w:p>
      <w:r>
        <w:pict>
          <v:rect style="width:0;height:1.5pt" o:hralign="center" o:hrstd="t" o:hr="t"/>
        </w:pict>
      </w:r>
    </w:p>
    <w:bookmarkEnd w:id="10"/>
    <w:bookmarkStart w:id="11" w:name="X724d08935f1d892e4e8e75764272449cdc8d338"/>
    <w:p>
      <w:pPr>
        <w:pStyle w:val="Heading2"/>
      </w:pPr>
      <w:r>
        <w:t xml:space="preserve">The Bigger Picture: Investor Day (March 31, 2026)</w:t>
      </w:r>
    </w:p>
    <w:p>
      <w:pPr>
        <w:pStyle w:val="FirstParagraph"/>
      </w:pPr>
      <w:r>
        <w:t xml:space="preserve">Just before Q1 earnings, Quanta hosted an Investor Day laying out a 2030 roadmap that continues to frame the bull case:</w:t>
      </w:r>
    </w:p>
    <w:p>
      <w:pPr>
        <w:pStyle w:val="Compact"/>
        <w:numPr>
          <w:ilvl w:val="0"/>
          <w:numId w:val="1001"/>
        </w:numPr>
      </w:pPr>
      <w:r>
        <w:rPr>
          <w:b/>
          <w:bCs/>
        </w:rPr>
        <w:t xml:space="preserve">TAM expansion:</w:t>
      </w:r>
      <w:r>
        <w:t xml:space="preserve"> </w:t>
      </w:r>
      <w:r>
        <w:t xml:space="preserve">the accelerating convergence of these markets continues to create significant opportunities... position us as the trusted partner our customers turn to when certainty matters most, with management sizing the combined utility, generation and large-load opportunity at roughly $2.4 trillion through 2030.</w:t>
      </w:r>
    </w:p>
    <w:p>
      <w:pPr>
        <w:pStyle w:val="Compact"/>
        <w:numPr>
          <w:ilvl w:val="0"/>
          <w:numId w:val="1001"/>
        </w:numPr>
      </w:pPr>
      <w:r>
        <w:rPr>
          <w:b/>
          <w:bCs/>
        </w:rPr>
        <w:t xml:space="preserve">2030 financial targets:</w:t>
      </w:r>
      <w:r>
        <w:t xml:space="preserve"> </w:t>
      </w:r>
      <w:r>
        <w:t xml:space="preserve">organic revenue CAGR of 7–10%, adjusted EBITDA margins of 10–11% (30–80bps of expansion vs. 2026 guidance), return on invested capital of 12–15%, and adjusted EPS growth of 15–20% CAGR (potentially 20%+ if "active market opportunities" like 765kV transmission and gas generation stack in) — implying an adjusted EPS range of</w:t>
      </w:r>
      <w:r>
        <w:t xml:space="preserve"> </w:t>
      </w:r>
      <m:oMath>
        <m:r>
          <m:t>21.60</m:t>
        </m:r>
        <m:r>
          <m:rPr>
            <m:sty m:val="p"/>
          </m:rPr>
          <m:t>–</m:t>
        </m:r>
      </m:oMath>
      <w:r>
        <w:rPr>
          <w:b/>
          <w:bCs/>
        </w:rPr>
        <w:t xml:space="preserve">26.75 by 2030</w:t>
      </w:r>
      <w:r>
        <w:t xml:space="preserve">, roughly double 2025's $10.75.</w:t>
      </w:r>
    </w:p>
    <w:p>
      <w:pPr>
        <w:pStyle w:val="Compact"/>
        <w:numPr>
          <w:ilvl w:val="0"/>
          <w:numId w:val="1001"/>
        </w:numPr>
      </w:pPr>
      <w:r>
        <w:rPr>
          <w:b/>
          <w:bCs/>
        </w:rPr>
        <w:t xml:space="preserve">Capital deployment:</w:t>
      </w:r>
      <w:r>
        <w:t xml:space="preserve"> </w:t>
      </w:r>
      <w:r>
        <w:t xml:space="preserve">management guided to $10–12B of cumulative free cash flow through 2030 while maintaining an investment-grade balance sheet and a 1.5x–2.0x leverage target (with willingness to stretch toward 2.5–3x for the right acquisition).</w:t>
      </w:r>
    </w:p>
    <w:p>
      <w:pPr>
        <w:pStyle w:val="FirstParagraph"/>
      </w:pPr>
      <w:r>
        <w:t xml:space="preserve">This framework is the lens through which investors will judge tomorrow's quarter — not just whether Q2 beats, but whether the trajectory toward the 2030 targets remains intact.</w:t>
      </w:r>
    </w:p>
    <w:p>
      <w:r>
        <w:pict>
          <v:rect style="width:0;height:1.5pt" o:hralign="center" o:hrstd="t" o:hr="t"/>
        </w:pict>
      </w:r>
    </w:p>
    <w:bookmarkEnd w:id="11"/>
    <w:bookmarkStart w:id="12" w:name="key-themes-to-watch-on-the-call"/>
    <w:p>
      <w:pPr>
        <w:pStyle w:val="Heading2"/>
      </w:pPr>
      <w:r>
        <w:t xml:space="preserve">Key Themes to Watch on the Call</w:t>
      </w:r>
    </w:p>
    <w:p>
      <w:pPr>
        <w:pStyle w:val="FirstParagraph"/>
      </w:pPr>
      <w:r>
        <w:rPr>
          <w:b/>
          <w:bCs/>
        </w:rPr>
        <w:t xml:space="preserve">1. Backlog momentum and large-load/data-center demand.</w:t>
      </w:r>
      <w:r>
        <w:t xml:space="preserve"> </w:t>
      </w:r>
      <w:r>
        <w:t xml:space="preserve">Backlog hit a record $48.5B in Q1 (RPO of</w:t>
      </w:r>
      <w:r>
        <w:t xml:space="preserve"> </w:t>
      </w:r>
      <m:oMath>
        <m:r>
          <m:t>26.2</m:t>
        </m:r>
        <m:r>
          <m:t>B</m:t>
        </m:r>
        <m:r>
          <m:rPr>
            <m:sty m:val="p"/>
          </m:rPr>
          <m:t>)</m:t>
        </m:r>
        <m:r>
          <m:rPr>
            <m:sty m:val="p"/>
          </m:rPr>
          <m:t>,</m:t>
        </m:r>
        <m:r>
          <m:t>a</m:t>
        </m:r>
        <m:r>
          <m:t>n</m:t>
        </m:r>
        <m:r>
          <m:t>d</m:t>
        </m:r>
        <m:r>
          <m:t>t</m:t>
        </m:r>
        <m:r>
          <m:t>h</m:t>
        </m:r>
        <m:r>
          <m:t>e</m:t>
        </m:r>
        <m:r>
          <m:t>S</m:t>
        </m:r>
        <m:r>
          <m:t>t</m:t>
        </m:r>
        <m:r>
          <m:t>r</m:t>
        </m:r>
        <m:r>
          <m:t>e</m:t>
        </m:r>
        <m:r>
          <m:t>e</m:t>
        </m:r>
        <m:r>
          <m:t>t</m:t>
        </m:r>
        <m:r>
          <m:t>e</m:t>
        </m:r>
        <m:r>
          <m:t>x</m:t>
        </m:r>
        <m:r>
          <m:t>p</m:t>
        </m:r>
        <m:r>
          <m:t>e</m:t>
        </m:r>
        <m:r>
          <m:t>c</m:t>
        </m:r>
        <m:r>
          <m:t>t</m:t>
        </m:r>
        <m:r>
          <m:t>s</m:t>
        </m:r>
        <m:r>
          <m:t>i</m:t>
        </m:r>
        <m:r>
          <m:t>t</m:t>
        </m:r>
        <m:r>
          <m:t>t</m:t>
        </m:r>
        <m:r>
          <m:t>o</m:t>
        </m:r>
        <m:r>
          <m:t>r</m:t>
        </m:r>
        <m:r>
          <m:t>e</m:t>
        </m:r>
        <m:r>
          <m:t>a</m:t>
        </m:r>
        <m:r>
          <m:t>c</m:t>
        </m:r>
        <m:r>
          <m:t>h</m:t>
        </m:r>
        <m:r>
          <m:t> </m:t>
        </m:r>
      </m:oMath>
      <w:r>
        <w:t xml:space="preserve">50.4B in Q2. On the Q1 call, management emphasized broad-based bookings strength (electric, T&amp;D, generation), including the first meaningful 765kV order tied to the AEP relationship, and reiterated that technology and load center is our fastest-growing market today as the demand for data centers, for large loads and the demand for our MVP capabilities continues to grow. Given the recent wobble in AI-capex-linked stocks (Vertiv's Q2 organic growth missed model expectations this week, and hyperscaler spending scrutiny has intensified), investors will want confirmation that Quanta's data-center/large-load pipeline hasn't slowed.</w:t>
      </w:r>
    </w:p>
    <w:p>
      <w:pPr>
        <w:pStyle w:val="BodyText"/>
      </w:pPr>
      <w:r>
        <w:rPr>
          <w:b/>
          <w:bCs/>
        </w:rPr>
        <w:t xml:space="preserve">2. NiSource and other "programmatic" utility partnerships.</w:t>
      </w:r>
      <w:r>
        <w:t xml:space="preserve"> </w:t>
      </w:r>
      <w:r>
        <w:t xml:space="preserve">Management has framed NiSource — this has gone from $50 million to what I consider $5 billion to $7 billion type opportunity across a 5- to 7-year period — as the template for deeper, negotiated (non-bid) utility relationships. Updates on air-permit progress (which would move generation work into backlog) and whether similar deals are being struck with other mid-sized utilities will be closely watched.</w:t>
      </w:r>
    </w:p>
    <w:p>
      <w:pPr>
        <w:pStyle w:val="BodyText"/>
      </w:pPr>
      <w:r>
        <w:rPr>
          <w:b/>
          <w:bCs/>
        </w:rPr>
        <w:t xml:space="preserve">3. Margin trajectory, especially Underground &amp; Infrastructure.</w:t>
      </w:r>
      <w:r>
        <w:t xml:space="preserve"> </w:t>
      </w:r>
      <w:r>
        <w:t xml:space="preserve">Q1's UI margin improvement (6.0%→7.5%) was called out as sustainable, with management indicating that's where you're going to see the incremental margin improvement... we have the ability to operate in double digits. Continued progress here, alongside Electric segment margins, will be a key input to full-year guidance credibility.</w:t>
      </w:r>
    </w:p>
    <w:p>
      <w:pPr>
        <w:pStyle w:val="BodyText"/>
      </w:pPr>
      <w:r>
        <w:rPr>
          <w:b/>
          <w:bCs/>
        </w:rPr>
        <w:t xml:space="preserve">4. Gas generation / combined-cycle discipline.</w:t>
      </w:r>
      <w:r>
        <w:t xml:space="preserve"> </w:t>
      </w:r>
      <w:r>
        <w:t xml:space="preserve">Management has been explicit about avoiding fixed-price risk on combined-cycle gas turbine (CCGT) builds while leaning into simple-cycle work, preferring JV structures (e.g., with Zachry) for larger complex jobs. Watch for commentary on how this large and growing TAM (gas generation buildout tied to data-center/large-load demand) is being monetized without taking on undue execution risk.</w:t>
      </w:r>
    </w:p>
    <w:p>
      <w:pPr>
        <w:pStyle w:val="BodyText"/>
      </w:pPr>
      <w:r>
        <w:rPr>
          <w:b/>
          <w:bCs/>
        </w:rPr>
        <w:t xml:space="preserve">5. M&amp;A cadence.</w:t>
      </w:r>
      <w:r>
        <w:t xml:space="preserve"> </w:t>
      </w:r>
      <w:r>
        <w:t xml:space="preserve">Quanta made</w:t>
      </w:r>
      <w:r>
        <w:t xml:space="preserve"> </w:t>
      </w:r>
      <w:r>
        <w:rPr>
          <w:b/>
          <w:bCs/>
        </w:rPr>
        <w:t xml:space="preserve">zero acquisitions in Q1</w:t>
      </w:r>
      <w:r>
        <w:t xml:space="preserve">, a departure from its historic playbook (8 acquisitions in full-year 2025). Management indicated expectations for M&amp;A activity over the next 9 months, probably over the next 2 or 3 years, funded by strong free cash flow generation. Any Q2 deal activity, or lack thereof, plus commentary on the acquisition pipeline and valuation discipline, will matter for the capital-deployment narrative.</w:t>
      </w:r>
    </w:p>
    <w:p>
      <w:pPr>
        <w:pStyle w:val="BodyText"/>
      </w:pPr>
      <w:r>
        <w:rPr>
          <w:b/>
          <w:bCs/>
        </w:rPr>
        <w:t xml:space="preserve">6. Free cash flow seasonality and capex.</w:t>
      </w:r>
      <w:r>
        <w:t xml:space="preserve"> </w:t>
      </w:r>
      <w:r>
        <w:t xml:space="preserve">Quanta held FY26 FCF guidance unchanged in Q1 despite the beat, with CFO Jayshree Desai flagging greater confidence about being at the higher end of that cash flow range. The company is also mid-stream on a $500–700M transformer manufacturing capacity expansion and near-doubling of off-site fabrication footprint (~6.7M sq ft), which will pressure near-term capex/FCF conversion even as it supports the "certainty" pitch to customers.</w:t>
      </w:r>
    </w:p>
    <w:p>
      <w:pPr>
        <w:pStyle w:val="BodyText"/>
      </w:pPr>
      <w:r>
        <w:rPr>
          <w:b/>
          <w:bCs/>
        </w:rPr>
        <w:t xml:space="preserve">7. Macro/geopolitical noise.</w:t>
      </w:r>
      <w:r>
        <w:t xml:space="preserve"> </w:t>
      </w:r>
      <w:r>
        <w:t xml:space="preserve">Diesel/commodity costs, tariffs, and the broader Iran-related geopolitical backdrop were flagged as immaterial to guidance last quarter our guidance contemplates anything like that... not concerned with that. Watch for any incremental commentary given continued Middle East tensions and oil price volatility.</w:t>
      </w:r>
    </w:p>
    <w:p>
      <w:r>
        <w:pict>
          <v:rect style="width:0;height:1.5pt" o:hralign="center" o:hrstd="t" o:hr="t"/>
        </w:pict>
      </w:r>
    </w:p>
    <w:bookmarkEnd w:id="12"/>
    <w:bookmarkStart w:id="13" w:name="valuation--sentiment-context"/>
    <w:p>
      <w:pPr>
        <w:pStyle w:val="Heading2"/>
      </w:pPr>
      <w:r>
        <w:t xml:space="preserve">Valuation &amp; Sentiment Context</w:t>
      </w:r>
    </w:p>
    <w:p>
      <w:pPr>
        <w:pStyle w:val="FirstParagraph"/>
      </w:pPr>
      <w:r>
        <w:t xml:space="preserve">PWR shares are still up meaningfully year-to-date despite the recent slide, but the stock's round-trip from ~</w:t>
      </w:r>
      <m:oMath>
        <m:r>
          <m:t>629</m:t>
        </m:r>
        <m:r>
          <m:t>p</m:t>
        </m:r>
        <m:r>
          <m:t>r</m:t>
        </m:r>
        <m:r>
          <m:t>e</m:t>
        </m:r>
        <m:r>
          <m:rPr>
            <m:sty m:val="p"/>
          </m:rPr>
          <m:t>−</m:t>
        </m:r>
        <m:r>
          <m:t>Q</m:t>
        </m:r>
        <m:r>
          <m:t>1</m:t>
        </m:r>
        <m:r>
          <m:t>t</m:t>
        </m:r>
        <m:r>
          <m:t>o</m:t>
        </m:r>
        <m:r>
          <m:t> </m:t>
        </m:r>
      </m:oMath>
      <w:r>
        <w:t xml:space="preserve">785 (mid-May) back to ~$569 highlights how sensitive the name has become to the broader AI-infrastructure capex narrative — the same theme driving volatility in semiconductor, memory, and data-center power names (e.g., the SK Hynix and ASML selloffs, Vertiv's mixed Q2 print, and hyperscaler capex jitters ahead of Microsoft/Meta/Amazon/Alphabet earnings this same week). A "beat-and-raise" quarter that reinforces bookings momentum in electrification and data centers could help stabilize sentiment; a deceleration in backlog growth or cautious commentary on hyperscaler capex could compound the recent de-rating.</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Quanta enters this print with best-in-class visibility (record backlog, negotiated/programmatic utility relationships, a</w:t>
      </w:r>
      <w:r>
        <w:t xml:space="preserve"> </w:t>
      </w:r>
      <m:oMath>
        <m:r>
          <m:t>2.4</m:t>
        </m:r>
        <m:r>
          <m:t>T</m:t>
        </m:r>
        <m:r>
          <m:t>l</m:t>
        </m:r>
        <m:r>
          <m:t>o</m:t>
        </m:r>
        <m:r>
          <m:t>n</m:t>
        </m:r>
        <m:r>
          <m:t>g</m:t>
        </m:r>
        <m:r>
          <m:rPr>
            <m:sty m:val="p"/>
          </m:rPr>
          <m:t>−</m:t>
        </m:r>
        <m:r>
          <m:t>t</m:t>
        </m:r>
        <m:r>
          <m:t>e</m:t>
        </m:r>
        <m:r>
          <m:t>r</m:t>
        </m:r>
        <m:r>
          <m:t>m</m:t>
        </m:r>
        <m:r>
          <m:t>T</m:t>
        </m:r>
        <m:r>
          <m:t>A</m:t>
        </m:r>
        <m:r>
          <m:t>M</m:t>
        </m:r>
        <m:r>
          <m:rPr>
            <m:sty m:val="p"/>
          </m:rPr>
          <m:t>)</m:t>
        </m:r>
        <m:r>
          <m:t>a</m:t>
        </m:r>
        <m:r>
          <m:t>n</m:t>
        </m:r>
        <m:r>
          <m:t>d</m:t>
        </m:r>
        <m:r>
          <m:t>a</m:t>
        </m:r>
        <m:r>
          <m:t>t</m:t>
        </m:r>
        <m:r>
          <m:t>r</m:t>
        </m:r>
        <m:r>
          <m:t>a</m:t>
        </m:r>
        <m:r>
          <m:t>c</m:t>
        </m:r>
        <m:r>
          <m:t>k</m:t>
        </m:r>
        <m:r>
          <m:t>r</m:t>
        </m:r>
        <m:r>
          <m:t>e</m:t>
        </m:r>
        <m:r>
          <m:t>c</m:t>
        </m:r>
        <m:r>
          <m:t>o</m:t>
        </m:r>
        <m:r>
          <m:t>r</m:t>
        </m:r>
        <m:r>
          <m:t>d</m:t>
        </m:r>
        <m:r>
          <m:t>o</m:t>
        </m:r>
        <m:r>
          <m:t>f</m:t>
        </m:r>
        <m:r>
          <m:t>b</m:t>
        </m:r>
        <m:r>
          <m:t>e</m:t>
        </m:r>
        <m:r>
          <m:t>a</m:t>
        </m:r>
        <m:r>
          <m:t>t</m:t>
        </m:r>
        <m:r>
          <m:t>i</m:t>
        </m:r>
        <m:r>
          <m:t>n</m:t>
        </m:r>
        <m:r>
          <m:t>g</m:t>
        </m:r>
        <m:r>
          <m:t>a</m:t>
        </m:r>
        <m:r>
          <m:t>n</m:t>
        </m:r>
        <m:r>
          <m:t>d</m:t>
        </m:r>
        <m:r>
          <m:t>r</m:t>
        </m:r>
        <m:r>
          <m:t>a</m:t>
        </m:r>
        <m:r>
          <m:t>i</m:t>
        </m:r>
        <m:r>
          <m:t>s</m:t>
        </m:r>
        <m:r>
          <m:t>i</m:t>
        </m:r>
        <m:r>
          <m:t>n</m:t>
        </m:r>
        <m:r>
          <m:t>g</m:t>
        </m:r>
        <m:r>
          <m:t>g</m:t>
        </m:r>
        <m:r>
          <m:t>u</m:t>
        </m:r>
        <m:r>
          <m:t>i</m:t>
        </m:r>
        <m:r>
          <m:t>d</m:t>
        </m:r>
        <m:r>
          <m:t>a</m:t>
        </m:r>
        <m:r>
          <m:t>n</m:t>
        </m:r>
        <m:r>
          <m:t>c</m:t>
        </m:r>
        <m:r>
          <m:t>e</m:t>
        </m:r>
        <m:r>
          <m:t>e</m:t>
        </m:r>
        <m:r>
          <m:t>v</m:t>
        </m:r>
        <m:r>
          <m:t>e</m:t>
        </m:r>
        <m:r>
          <m:t>r</m:t>
        </m:r>
        <m:r>
          <m:t>y</m:t>
        </m:r>
        <m:r>
          <m:t>q</m:t>
        </m:r>
        <m:r>
          <m:t>u</m:t>
        </m:r>
        <m:r>
          <m:t>a</m:t>
        </m:r>
        <m:r>
          <m:t>r</m:t>
        </m:r>
        <m:r>
          <m:t>t</m:t>
        </m:r>
        <m:r>
          <m:t>e</m:t>
        </m:r>
        <m:r>
          <m:t>r</m:t>
        </m:r>
        <m:r>
          <m:t>t</m:t>
        </m:r>
        <m:r>
          <m:t>h</m:t>
        </m:r>
        <m:r>
          <m:t>i</m:t>
        </m:r>
        <m:r>
          <m:t>s</m:t>
        </m:r>
        <m:r>
          <m:t>c</m:t>
        </m:r>
        <m:r>
          <m:t>y</m:t>
        </m:r>
        <m:r>
          <m:t>c</m:t>
        </m:r>
        <m:r>
          <m:t>l</m:t>
        </m:r>
        <m:r>
          <m:t>e</m:t>
        </m:r>
        <m:r>
          <m:rPr>
            <m:sty m:val="p"/>
          </m:rPr>
          <m:t>.</m:t>
        </m:r>
        <m:r>
          <m:t>T</m:t>
        </m:r>
        <m:r>
          <m:t>h</m:t>
        </m:r>
        <m:r>
          <m:t>e</m:t>
        </m:r>
        <m:r>
          <m:t>k</m:t>
        </m:r>
        <m:r>
          <m:t>e</m:t>
        </m:r>
        <m:r>
          <m:t>y</m:t>
        </m:r>
        <m:r>
          <m:t>q</m:t>
        </m:r>
        <m:r>
          <m:t>u</m:t>
        </m:r>
        <m:r>
          <m:t>e</m:t>
        </m:r>
        <m:r>
          <m:t>s</m:t>
        </m:r>
        <m:r>
          <m:t>t</m:t>
        </m:r>
        <m:r>
          <m:t>i</m:t>
        </m:r>
        <m:r>
          <m:t>o</m:t>
        </m:r>
        <m:r>
          <m:t>n</m:t>
        </m:r>
        <m:r>
          <m:t>s</m:t>
        </m:r>
        <m:r>
          <m:t>f</m:t>
        </m:r>
        <m:r>
          <m:t>o</m:t>
        </m:r>
        <m:r>
          <m:t>r</m:t>
        </m:r>
        <m:r>
          <m:t>Q</m:t>
        </m:r>
        <m:r>
          <m:t>2</m:t>
        </m:r>
        <m:r>
          <m:t>a</m:t>
        </m:r>
        <m:r>
          <m:t>r</m:t>
        </m:r>
        <m:r>
          <m:t>e</m:t>
        </m:r>
        <m:r>
          <m:t>l</m:t>
        </m:r>
        <m:r>
          <m:t>e</m:t>
        </m:r>
        <m:r>
          <m:t>s</m:t>
        </m:r>
        <m:r>
          <m:t>s</m:t>
        </m:r>
        <m:r>
          <m:t>a</m:t>
        </m:r>
        <m:r>
          <m:t>b</m:t>
        </m:r>
        <m:r>
          <m:t>o</m:t>
        </m:r>
        <m:r>
          <m:t>u</m:t>
        </m:r>
        <m:r>
          <m:t>t</m:t>
        </m:r>
        <m:r>
          <m:t>w</m:t>
        </m:r>
        <m:r>
          <m:t>h</m:t>
        </m:r>
        <m:r>
          <m:t>e</m:t>
        </m:r>
        <m:r>
          <m:t>t</m:t>
        </m:r>
        <m:r>
          <m:t>h</m:t>
        </m:r>
        <m:r>
          <m:t>e</m:t>
        </m:r>
        <m:r>
          <m:t>r</m:t>
        </m:r>
        <m:r>
          <m:t>t</m:t>
        </m:r>
        <m:r>
          <m:t>h</m:t>
        </m:r>
        <m:r>
          <m:t>e</m:t>
        </m:r>
        <m:r>
          <m:t>h</m:t>
        </m:r>
        <m:r>
          <m:t>e</m:t>
        </m:r>
        <m:r>
          <m:t>a</m:t>
        </m:r>
        <m:r>
          <m:t>d</m:t>
        </m:r>
        <m:r>
          <m:t>l</m:t>
        </m:r>
        <m:r>
          <m:t>i</m:t>
        </m:r>
        <m:r>
          <m:t>n</m:t>
        </m:r>
        <m:r>
          <m:t>e</m:t>
        </m:r>
        <m:r>
          <m:t>n</m:t>
        </m:r>
        <m:r>
          <m:t>u</m:t>
        </m:r>
        <m:r>
          <m:t>m</m:t>
        </m:r>
        <m:r>
          <m:t>b</m:t>
        </m:r>
        <m:r>
          <m:t>e</m:t>
        </m:r>
        <m:r>
          <m:t>r</m:t>
        </m:r>
        <m:r>
          <m:t>s</m:t>
        </m:r>
        <m:r>
          <m:t>c</m:t>
        </m:r>
        <m:r>
          <m:t>l</m:t>
        </m:r>
        <m:r>
          <m:t>e</m:t>
        </m:r>
        <m:r>
          <m:t>a</m:t>
        </m:r>
        <m:r>
          <m:t>r</m:t>
        </m:r>
        <m:r>
          <m:t>c</m:t>
        </m:r>
        <m:r>
          <m:t>o</m:t>
        </m:r>
        <m:r>
          <m:t>n</m:t>
        </m:r>
        <m:r>
          <m:t>s</m:t>
        </m:r>
        <m:r>
          <m:t>e</m:t>
        </m:r>
        <m:r>
          <m:t>n</m:t>
        </m:r>
        <m:r>
          <m:t>s</m:t>
        </m:r>
        <m:r>
          <m:t>u</m:t>
        </m:r>
        <m:r>
          <m:t>s</m:t>
        </m:r>
        <m:r>
          <m:rPr>
            <m:sty m:val="p"/>
          </m:rPr>
          <m:t>(</m:t>
        </m:r>
      </m:oMath>
      <w:r>
        <w:t xml:space="preserve">3.27 EPS /</w:t>
      </w:r>
      <w:r>
        <w:t xml:space="preserve"> </w:t>
      </w:r>
      <m:oMath>
        <m:r>
          <m:t>8.55</m:t>
        </m:r>
        <m:r>
          <m:t>B</m:t>
        </m:r>
        <m:r>
          <m:t>r</m:t>
        </m:r>
        <m:r>
          <m:t>e</m:t>
        </m:r>
        <m:r>
          <m:t>v</m:t>
        </m:r>
        <m:r>
          <m:t>e</m:t>
        </m:r>
        <m:r>
          <m:t>n</m:t>
        </m:r>
        <m:r>
          <m:t>u</m:t>
        </m:r>
        <m:r>
          <m:t>e</m:t>
        </m:r>
        <m:r>
          <m:rPr>
            <m:sty m:val="p"/>
          </m:rPr>
          <m:t>/</m:t>
        </m:r>
        <m:r>
          <m:t> </m:t>
        </m:r>
      </m:oMath>
      <w:r>
        <w:t xml:space="preserve">50.4B backlog) and more about: (1) whether backlog and bookings commentary reassures investors that AI/data-center-driven demand remains intact amid sector-wide capex anxiety, (2) whether margin expansion (particularly in Underground &amp; Infrastructure) continues, and (3) whether management reiterates confidence in the 2030 compounding targets laid out at the March Investor Day.</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2026-07-29T18:36:14Z</dcterms:created>
  <dcterms:modified xsi:type="dcterms:W3CDTF">2026-07-29T18:36:14Z</dcterms:modified>
</cp:coreProperties>
</file>

<file path=docProps/custom.xml><?xml version="1.0" encoding="utf-8"?>
<Properties xmlns="http://schemas.openxmlformats.org/officeDocument/2006/custom-properties" xmlns:vt="http://schemas.openxmlformats.org/officeDocument/2006/docPropsVTypes"/>
</file>