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pwr-q2-2026-earnings-preview"/>
    <w:p>
      <w:pPr>
        <w:pStyle w:val="Heading1"/>
      </w:pPr>
      <w:r>
        <w:t xml:space="preserve">PWR Q2 2026 Earnings Preview</w:t>
      </w:r>
    </w:p>
    <w:p>
      <w:pPr>
        <w:pStyle w:val="FirstParagraph"/>
      </w:pPr>
      <w:r>
        <w:rPr>
          <w:b/>
          <w:bCs/>
        </w:rPr>
        <w:t xml:space="preserve">Report:</w:t>
      </w:r>
      <w:r>
        <w:t xml:space="preserve"> </w:t>
      </w:r>
      <w:r>
        <w:t xml:space="preserve">Thursday, July 30, before the market opens</w:t>
      </w:r>
      <w:r>
        <w:br/>
      </w:r>
      <w:r>
        <w:rPr>
          <w:b/>
          <w:bCs/>
        </w:rPr>
        <w:t xml:space="preserve">Call:</w:t>
      </w:r>
      <w:r>
        <w:t xml:space="preserve"> </w:t>
      </w:r>
      <w:r>
        <w:t xml:space="preserve">9:00 a.m. ET (</w:t>
      </w:r>
      <w:hyperlink r:id="rId9">
        <w:r>
          <w:rPr>
            <w:rStyle w:val="Hyperlink"/>
          </w:rPr>
          <w:t xml:space="preserve">investors.quantaservices.com</w:t>
        </w:r>
      </w:hyperlink>
      <w:r>
        <w:t xml:space="preserve">)</w:t>
      </w:r>
    </w:p>
    <w:bookmarkStart w:id="11" w:name="investment-setup"/>
    <w:p>
      <w:pPr>
        <w:pStyle w:val="Heading2"/>
      </w:pPr>
      <w:r>
        <w:t xml:space="preserve">Investment setup</w:t>
      </w:r>
    </w:p>
    <w:p>
      <w:pPr>
        <w:pStyle w:val="FirstParagraph"/>
      </w:pPr>
      <w:r>
        <w:t xml:space="preserve">Quanta enters the quarter with unusually strong operating momentum but also demanding expectations. The company’s first-quarter revenue rose 26% to $7.87 billion, adjusted EPS increased 51% to $2.68, and backlog reached a record $48.5 billion. Management responded by materially raising its 2026 outlook. (</w:t>
      </w:r>
      <w:hyperlink r:id="rId10">
        <w:r>
          <w:rPr>
            <w:rStyle w:val="Hyperlink"/>
          </w:rPr>
          <w:t xml:space="preserve">investors.quantaservices.com</w:t>
        </w:r>
      </w:hyperlink>
      <w:r>
        <w:t xml:space="preserve">)</w:t>
      </w:r>
    </w:p>
    <w:p>
      <w:pPr>
        <w:pStyle w:val="BodyText"/>
      </w:pPr>
      <w:r>
        <w:t xml:space="preserve">The stock has corrected sharply from its May high, but at roughly</w:t>
      </w:r>
      <w:r>
        <w:t xml:space="preserve"> </w:t>
      </w:r>
      <w:r>
        <w:rPr>
          <w:b/>
          <w:bCs/>
        </w:rPr>
        <w:t xml:space="preserve">$566 intraday on July 29</w:t>
      </w:r>
      <w:r>
        <w:t xml:space="preserve">, it still trades at about</w:t>
      </w:r>
      <w:r>
        <w:t xml:space="preserve"> </w:t>
      </w:r>
      <w:r>
        <w:rPr>
          <w:b/>
          <w:bCs/>
        </w:rPr>
        <w:t xml:space="preserve">41 times</w:t>
      </w:r>
      <w:r>
        <w:t xml:space="preserve"> </w:t>
      </w:r>
      <w:r>
        <w:t xml:space="preserve">the midpoint of management’s 2026 adjusted-EPS guidance. That valuation means the report will probably be judged less on whether Quanta beats quarterly consensus and more on whether management provides evidence that its elevated growth rate can persist into 2027 and beyond. (</w:t>
      </w:r>
      <w:hyperlink r:id="rId10">
        <w:r>
          <w:rPr>
            <w:rStyle w:val="Hyperlink"/>
          </w:rPr>
          <w:t xml:space="preserve">investors.quantaservices.com</w:t>
        </w:r>
      </w:hyperlink>
      <w:r>
        <w:t xml:space="preserve">)</w:t>
      </w:r>
    </w:p>
    <w:bookmarkEnd w:id="11"/>
    <w:bookmarkStart w:id="14" w:name="headline-expectations"/>
    <w:p>
      <w:pPr>
        <w:pStyle w:val="Heading2"/>
      </w:pPr>
      <w:r>
        <w:t xml:space="preserve">Headline expectations</w:t>
      </w:r>
    </w:p>
    <w:p>
      <w:pPr>
        <w:pStyle w:val="FirstParagraph"/>
      </w:pPr>
      <w:r>
        <w:t xml:space="preserve">Current published estimates cluster around: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w:t>
            </w:r>
          </w:p>
        </w:tc>
        <w:tc>
          <w:tcPr/>
          <w:p>
            <w:pPr>
              <w:pStyle w:val="Compact"/>
              <w:jc w:val="right"/>
            </w:pPr>
            <w:r>
              <w:t xml:space="preserve">Approx. growth</w:t>
            </w:r>
          </w:p>
        </w:tc>
      </w:tr>
      <w:tr>
        <w:tc>
          <w:tcPr/>
          <w:p>
            <w:pPr>
              <w:pStyle w:val="Compact"/>
            </w:pPr>
            <w:r>
              <w:t xml:space="preserve">Revenue</w:t>
            </w:r>
          </w:p>
        </w:tc>
        <w:tc>
          <w:tcPr/>
          <w:p>
            <w:pPr>
              <w:pStyle w:val="Compact"/>
              <w:jc w:val="right"/>
            </w:pPr>
            <m:oMath>
              <m:r>
                <m:t>8.55</m:t>
              </m:r>
              <m:r>
                <m:t>B</m:t>
              </m:r>
              <m:r>
                <m:rPr>
                  <m:sty m:val="p"/>
                </m:rPr>
                <m:t>–</m:t>
              </m:r>
            </m:oMath>
            <w:r>
              <w:rPr>
                <w:b/>
                <w:bCs/>
              </w:rPr>
              <w:t xml:space="preserve">8.60B</w:t>
            </w:r>
          </w:p>
        </w:tc>
        <w:tc>
          <w:tcPr/>
          <w:p>
            <w:pPr>
              <w:pStyle w:val="Compact"/>
              <w:jc w:val="right"/>
            </w:pPr>
            <w:r>
              <w:t xml:space="preserve">$6.77B</w:t>
            </w:r>
          </w:p>
        </w:tc>
        <w:tc>
          <w:tcPr/>
          <w:p>
            <w:pPr>
              <w:pStyle w:val="Compact"/>
              <w:jc w:val="right"/>
            </w:pPr>
            <w:r>
              <w:t xml:space="preserve">~26%–27%</w:t>
            </w:r>
          </w:p>
        </w:tc>
      </w:tr>
      <w:tr>
        <w:tc>
          <w:tcPr/>
          <w:p>
            <w:pPr>
              <w:pStyle w:val="Compact"/>
            </w:pPr>
            <w:r>
              <w:t xml:space="preserve">Adjusted EPS</w:t>
            </w:r>
          </w:p>
        </w:tc>
        <w:tc>
          <w:tcPr/>
          <w:p>
            <w:pPr>
              <w:pStyle w:val="Compact"/>
              <w:jc w:val="right"/>
            </w:pPr>
            <m:oMath>
              <m:r>
                <m:t>3.25</m:t>
              </m:r>
              <m:r>
                <m:rPr>
                  <m:sty m:val="p"/>
                </m:rPr>
                <m:t>–</m:t>
              </m:r>
            </m:oMath>
            <w:r>
              <w:rPr>
                <w:b/>
                <w:bCs/>
              </w:rPr>
              <w:t xml:space="preserve">3.27</w:t>
            </w:r>
          </w:p>
        </w:tc>
        <w:tc>
          <w:tcPr/>
          <w:p>
            <w:pPr>
              <w:pStyle w:val="Compact"/>
              <w:jc w:val="right"/>
            </w:pPr>
            <w:r>
              <w:t xml:space="preserve">$2.48</w:t>
            </w:r>
          </w:p>
        </w:tc>
        <w:tc>
          <w:tcPr/>
          <w:p>
            <w:pPr>
              <w:pStyle w:val="Compact"/>
              <w:jc w:val="right"/>
            </w:pPr>
            <w:r>
              <w:t xml:space="preserve">~31%–32%</w:t>
            </w:r>
          </w:p>
        </w:tc>
      </w:tr>
    </w:tbl>
    <w:p>
      <w:pPr>
        <w:pStyle w:val="BodyText"/>
      </w:pPr>
      <w:r>
        <w:t xml:space="preserve">Published consensus figures vary slightly by provider, but the setup is clearly for another quarter of more than 25% revenue growth and roughly 30% adjusted-EPS growth. (</w:t>
      </w:r>
      <w:hyperlink r:id="rId12">
        <w:r>
          <w:rPr>
            <w:rStyle w:val="Hyperlink"/>
          </w:rPr>
          <w:t xml:space="preserve">benzinga.com</w:t>
        </w:r>
      </w:hyperlink>
      <w:r>
        <w:t xml:space="preserve">)</w:t>
      </w:r>
    </w:p>
    <w:p>
      <w:pPr>
        <w:pStyle w:val="BodyText"/>
      </w:pPr>
      <w:r>
        <w:t xml:space="preserve">The important caveat is that reported growth includes acquisitions. In Q1, Quanta’s consolidated organic revenue growth was 13.6%; acquisitions contributed approximately $460 million to Electric revenue and $335 million to Underground and Infrastructure revenue. Investors should separate the underlying organic performance from the benefit of the eight acquisitions completed during 2025. (</w:t>
      </w:r>
      <w:hyperlink r:id="rId13">
        <w:r>
          <w:rPr>
            <w:rStyle w:val="Hyperlink"/>
          </w:rPr>
          <w:t xml:space="preserve">uk.marketscreener.com</w:t>
        </w:r>
      </w:hyperlink>
      <w:r>
        <w:t xml:space="preserve">)</w:t>
      </w:r>
    </w:p>
    <w:bookmarkEnd w:id="14"/>
    <w:bookmarkStart w:id="21" w:name="the-five-issues-that-matter-most"/>
    <w:p>
      <w:pPr>
        <w:pStyle w:val="Heading2"/>
      </w:pPr>
      <w:r>
        <w:t xml:space="preserve">The five issues that matter most</w:t>
      </w:r>
    </w:p>
    <w:bookmarkStart w:id="15" w:name="X99defd8e87455679620388518c46ee60ab9545b"/>
    <w:p>
      <w:pPr>
        <w:pStyle w:val="Heading3"/>
      </w:pPr>
      <w:r>
        <w:t xml:space="preserve">1. Can Electric margins return to double digits?</w:t>
      </w:r>
    </w:p>
    <w:p>
      <w:pPr>
        <w:pStyle w:val="FirstParagraph"/>
      </w:pPr>
      <w:r>
        <w:t xml:space="preserve">Electric remains the core earnings engine. Q1 Electric revenue grew 31%, including approximately 22% organic growth, but its operating margin was 8.7%. Management’s full-year guidance calls for:</w:t>
      </w:r>
    </w:p>
    <w:p>
      <w:pPr>
        <w:pStyle w:val="Compact"/>
        <w:numPr>
          <w:ilvl w:val="0"/>
          <w:numId w:val="1001"/>
        </w:numPr>
      </w:pPr>
      <w:r>
        <w:rPr>
          <w:b/>
          <w:bCs/>
        </w:rPr>
        <w:t xml:space="preserve">Electric revenue:</w:t>
      </w:r>
      <w:r>
        <w:t xml:space="preserve"> </w:t>
      </w:r>
      <m:oMath>
        <m:r>
          <m:t>28.2</m:t>
        </m:r>
        <m:r>
          <m:t>B</m:t>
        </m:r>
        <m:r>
          <m:rPr>
            <m:sty m:val="p"/>
          </m:rPr>
          <m:t>–</m:t>
        </m:r>
      </m:oMath>
      <w:r>
        <w:t xml:space="preserve">28.5B</w:t>
      </w:r>
    </w:p>
    <w:p>
      <w:pPr>
        <w:pStyle w:val="Compact"/>
        <w:numPr>
          <w:ilvl w:val="0"/>
          <w:numId w:val="1001"/>
        </w:numPr>
      </w:pPr>
      <w:r>
        <w:rPr>
          <w:b/>
          <w:bCs/>
        </w:rPr>
        <w:t xml:space="preserve">Revenue growth:</w:t>
      </w:r>
      <w:r>
        <w:t xml:space="preserve"> </w:t>
      </w:r>
      <w:r>
        <w:t xml:space="preserve">22.6%–23.9%</w:t>
      </w:r>
    </w:p>
    <w:p>
      <w:pPr>
        <w:pStyle w:val="Compact"/>
        <w:numPr>
          <w:ilvl w:val="0"/>
          <w:numId w:val="1001"/>
        </w:numPr>
      </w:pPr>
      <w:r>
        <w:rPr>
          <w:b/>
          <w:bCs/>
        </w:rPr>
        <w:t xml:space="preserve">Operating margin:</w:t>
      </w:r>
      <w:r>
        <w:t xml:space="preserve"> </w:t>
      </w:r>
      <w:r>
        <w:t xml:space="preserve">10.1%–10.5%</w:t>
      </w:r>
    </w:p>
    <w:p>
      <w:pPr>
        <w:pStyle w:val="FirstParagraph"/>
      </w:pPr>
      <w:r>
        <w:t xml:space="preserve">Q2 2025 Electric margin was 10.1%, so the comparison provides a good test of whether the Q1 margin level was primarily seasonal or whether rapid hiring, project mobilization and acquired-business mix are placing more persistent pressure on profitability. (</w:t>
      </w:r>
      <w:hyperlink r:id="rId13">
        <w:r>
          <w:rPr>
            <w:rStyle w:val="Hyperlink"/>
          </w:rPr>
          <w:t xml:space="preserve">uk.marketscreener.com</w:t>
        </w:r>
      </w:hyperlink>
      <w:r>
        <w:t xml:space="preserve">)</w:t>
      </w:r>
    </w:p>
    <w:p>
      <w:pPr>
        <w:pStyle w:val="BodyText"/>
      </w:pPr>
      <w:r>
        <w:rPr>
          <w:b/>
          <w:bCs/>
        </w:rPr>
        <w:t xml:space="preserve">What I would want to see:</w:t>
      </w:r>
      <w:r>
        <w:t xml:space="preserve"> </w:t>
      </w:r>
      <w:r>
        <w:t xml:space="preserve">an Electric margin around or above 10%, accompanied by commentary that labor availability and project execution remain controlled. A large revenue beat with a sub-10% margin would be less convincing.</w:t>
      </w:r>
    </w:p>
    <w:bookmarkEnd w:id="15"/>
    <w:bookmarkStart w:id="16" w:name="Xf64450047b0ab0fef439b1deff52b1e6d89ac6c"/>
    <w:p>
      <w:pPr>
        <w:pStyle w:val="Heading3"/>
      </w:pPr>
      <w:r>
        <w:t xml:space="preserve">2. Is Underground and Infrastructure’s margin recovery durable?</w:t>
      </w:r>
    </w:p>
    <w:p>
      <w:pPr>
        <w:pStyle w:val="FirstParagraph"/>
      </w:pPr>
      <w:r>
        <w:t xml:space="preserve">This is probably the clearest near-term margin-expansion opportunity. Q1 operating margin improved to 7.5% from 6.0% a year earlier, driven by mechanical and civil operations, and management raised its full-year target to</w:t>
      </w:r>
      <w:r>
        <w:t xml:space="preserve"> </w:t>
      </w:r>
      <w:r>
        <w:rPr>
          <w:b/>
          <w:bCs/>
        </w:rPr>
        <w:t xml:space="preserve">8.25%–8.50%</w:t>
      </w:r>
      <w:r>
        <w:t xml:space="preserve">. It has also said this segment has the potential to operate at double-digit margins over time. (</w:t>
      </w:r>
      <w:hyperlink r:id="rId13">
        <w:r>
          <w:rPr>
            <w:rStyle w:val="Hyperlink"/>
          </w:rPr>
          <w:t xml:space="preserve">uk.marketscreener.com</w:t>
        </w:r>
      </w:hyperlink>
      <w:r>
        <w:t xml:space="preserve">)</w:t>
      </w:r>
    </w:p>
    <w:p>
      <w:pPr>
        <w:pStyle w:val="BodyText"/>
      </w:pPr>
      <w:r>
        <w:t xml:space="preserve">The acquisition of Dynamic Systems gives Quanta greater exposure to mechanical, plumbing, modularization and process infrastructure associated with data centers and advanced manufacturing. The key question is whether this business is producing both high growth and the expected margin lift rather than simply adding acquired revenue.</w:t>
      </w:r>
    </w:p>
    <w:p>
      <w:pPr>
        <w:pStyle w:val="BodyText"/>
      </w:pPr>
      <w:r>
        <w:rPr>
          <w:b/>
          <w:bCs/>
        </w:rPr>
        <w:t xml:space="preserve">Positive signal:</w:t>
      </w:r>
      <w:r>
        <w:t xml:space="preserve"> </w:t>
      </w:r>
      <w:r>
        <w:t xml:space="preserve">margin approaching 8% or better, with continued strength in mechanical and civil work.</w:t>
      </w:r>
      <w:r>
        <w:br/>
      </w:r>
      <w:r>
        <w:rPr>
          <w:b/>
          <w:bCs/>
        </w:rPr>
        <w:t xml:space="preserve">Warning sign:</w:t>
      </w:r>
      <w:r>
        <w:t xml:space="preserve"> </w:t>
      </w:r>
      <w:r>
        <w:t xml:space="preserve">revenue growth without sequential margin progress.</w:t>
      </w:r>
    </w:p>
    <w:bookmarkEnd w:id="16"/>
    <w:bookmarkStart w:id="17" w:name="X432fc8291a84bb6ece1f4bf272deeed559251a6"/>
    <w:p>
      <w:pPr>
        <w:pStyle w:val="Heading3"/>
      </w:pPr>
      <w:r>
        <w:t xml:space="preserve">3. Backlog quality matters more than the absolute number</w:t>
      </w:r>
    </w:p>
    <w:p>
      <w:pPr>
        <w:pStyle w:val="FirstParagraph"/>
      </w:pPr>
      <w:r>
        <w:t xml:space="preserve">Quanta ended Q1 with:</w:t>
      </w:r>
    </w:p>
    <w:p>
      <w:pPr>
        <w:pStyle w:val="Compact"/>
        <w:numPr>
          <w:ilvl w:val="0"/>
          <w:numId w:val="1002"/>
        </w:numPr>
      </w:pPr>
      <w:r>
        <w:rPr>
          <w:b/>
          <w:bCs/>
        </w:rPr>
        <w:t xml:space="preserve">Total backlog:</w:t>
      </w:r>
      <w:r>
        <w:t xml:space="preserve"> </w:t>
      </w:r>
      <w:r>
        <w:t xml:space="preserve">$48.5B</w:t>
      </w:r>
    </w:p>
    <w:p>
      <w:pPr>
        <w:pStyle w:val="Compact"/>
        <w:numPr>
          <w:ilvl w:val="0"/>
          <w:numId w:val="1002"/>
        </w:numPr>
      </w:pPr>
      <w:r>
        <w:rPr>
          <w:b/>
          <w:bCs/>
        </w:rPr>
        <w:t xml:space="preserve">Electric backlog:</w:t>
      </w:r>
      <w:r>
        <w:t xml:space="preserve"> </w:t>
      </w:r>
      <w:r>
        <w:t xml:space="preserve">$40.1B</w:t>
      </w:r>
    </w:p>
    <w:p>
      <w:pPr>
        <w:pStyle w:val="Compact"/>
        <w:numPr>
          <w:ilvl w:val="0"/>
          <w:numId w:val="1002"/>
        </w:numPr>
      </w:pPr>
      <w:r>
        <w:rPr>
          <w:b/>
          <w:bCs/>
        </w:rPr>
        <w:t xml:space="preserve">Underground and Infrastructure backlog:</w:t>
      </w:r>
      <w:r>
        <w:t xml:space="preserve"> </w:t>
      </w:r>
      <w:r>
        <w:t xml:space="preserve">$8.4B</w:t>
      </w:r>
    </w:p>
    <w:p>
      <w:pPr>
        <w:pStyle w:val="Compact"/>
        <w:numPr>
          <w:ilvl w:val="0"/>
          <w:numId w:val="1002"/>
        </w:numPr>
      </w:pPr>
      <w:r>
        <w:rPr>
          <w:b/>
          <w:bCs/>
        </w:rPr>
        <w:t xml:space="preserve">Twelve-month backlog:</w:t>
      </w:r>
      <w:r>
        <w:t xml:space="preserve"> </w:t>
      </w:r>
      <w:r>
        <w:t xml:space="preserve">$28.2B</w:t>
      </w:r>
    </w:p>
    <w:p>
      <w:pPr>
        <w:pStyle w:val="FirstParagraph"/>
      </w:pPr>
      <w:r>
        <w:t xml:space="preserve">Importantly, Q1 backlog excluded a significant majority of the NiSource generation and grid program. Management expected portions of that work to begin entering backlog later in 2026 as permits and other approvals are obtained. (</w:t>
      </w:r>
      <w:hyperlink r:id="rId13">
        <w:r>
          <w:rPr>
            <w:rStyle w:val="Hyperlink"/>
          </w:rPr>
          <w:t xml:space="preserve">uk.marketscreener.com</w:t>
        </w:r>
      </w:hyperlink>
      <w:r>
        <w:t xml:space="preserve">)</w:t>
      </w:r>
    </w:p>
    <w:p>
      <w:pPr>
        <w:pStyle w:val="BodyText"/>
      </w:pPr>
      <w:r>
        <w:t xml:space="preserve">A total backlog above</w:t>
      </w:r>
      <w:r>
        <w:t xml:space="preserve"> </w:t>
      </w:r>
      <w:r>
        <w:rPr>
          <w:b/>
          <w:bCs/>
        </w:rPr>
        <w:t xml:space="preserve">$50 billion</w:t>
      </w:r>
      <w:r>
        <w:t xml:space="preserve"> </w:t>
      </w:r>
      <w:r>
        <w:t xml:space="preserve">would be a constructive headline, but investors should focus on the composition:</w:t>
      </w:r>
    </w:p>
    <w:p>
      <w:pPr>
        <w:pStyle w:val="Compact"/>
        <w:numPr>
          <w:ilvl w:val="0"/>
          <w:numId w:val="1003"/>
        </w:numPr>
      </w:pPr>
      <w:r>
        <w:t xml:space="preserve">New 765-kV and other high-voltage transmission awards</w:t>
      </w:r>
    </w:p>
    <w:p>
      <w:pPr>
        <w:pStyle w:val="Compact"/>
        <w:numPr>
          <w:ilvl w:val="0"/>
          <w:numId w:val="1003"/>
        </w:numPr>
      </w:pPr>
      <w:r>
        <w:t xml:space="preserve">Large-load and data-center projects</w:t>
      </w:r>
    </w:p>
    <w:p>
      <w:pPr>
        <w:pStyle w:val="Compact"/>
        <w:numPr>
          <w:ilvl w:val="0"/>
          <w:numId w:val="1003"/>
        </w:numPr>
      </w:pPr>
      <w:r>
        <w:t xml:space="preserve">NiSource generation and grid work</w:t>
      </w:r>
    </w:p>
    <w:p>
      <w:pPr>
        <w:pStyle w:val="Compact"/>
        <w:numPr>
          <w:ilvl w:val="0"/>
          <w:numId w:val="1003"/>
        </w:numPr>
      </w:pPr>
      <w:r>
        <w:t xml:space="preserve">Mechanical bookings</w:t>
      </w:r>
    </w:p>
    <w:p>
      <w:pPr>
        <w:pStyle w:val="Compact"/>
        <w:numPr>
          <w:ilvl w:val="0"/>
          <w:numId w:val="1003"/>
        </w:numPr>
      </w:pPr>
      <w:r>
        <w:t xml:space="preserve">The portion expected to convert into revenue within 12 months</w:t>
      </w:r>
    </w:p>
    <w:p>
      <w:pPr>
        <w:pStyle w:val="FirstParagraph"/>
      </w:pPr>
      <w:r>
        <w:t xml:space="preserve">A flat backlog would not necessarily be bearish if caused by award or permitting timing. More concerning would be evidence that large-load customers are delaying or reducing previously discussed programs.</w:t>
      </w:r>
    </w:p>
    <w:bookmarkEnd w:id="17"/>
    <w:bookmarkStart w:id="18" w:name="Xb79ff2ffb50a2803bd44f7d9e03704f5866db08"/>
    <w:p>
      <w:pPr>
        <w:pStyle w:val="Heading3"/>
      </w:pPr>
      <w:r>
        <w:t xml:space="preserve">4. Guidance: another raise may be needed to satisfy the market</w:t>
      </w:r>
    </w:p>
    <w:p>
      <w:pPr>
        <w:pStyle w:val="FirstParagraph"/>
      </w:pPr>
      <w:r>
        <w:t xml:space="preserve">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guidance</w:t>
            </w:r>
          </w:p>
        </w:tc>
      </w:tr>
      <w:tr>
        <w:tc>
          <w:tcPr/>
          <w:p>
            <w:pPr>
              <w:pStyle w:val="Compact"/>
            </w:pPr>
            <w:r>
              <w:t xml:space="preserve">Revenue</w:t>
            </w:r>
          </w:p>
        </w:tc>
        <w:tc>
          <w:tcPr/>
          <w:p>
            <w:pPr>
              <w:pStyle w:val="Compact"/>
              <w:jc w:val="right"/>
            </w:pPr>
            <m:oMath>
              <m:r>
                <m:t>34.7</m:t>
              </m:r>
              <m:r>
                <m:t>B</m:t>
              </m:r>
              <m:r>
                <m:rPr>
                  <m:sty m:val="p"/>
                </m:rPr>
                <m:t>–</m:t>
              </m:r>
            </m:oMath>
            <w:r>
              <w:rPr>
                <w:b/>
                <w:bCs/>
              </w:rPr>
              <w:t xml:space="preserve">35.2B</w:t>
            </w:r>
          </w:p>
        </w:tc>
      </w:tr>
      <w:tr>
        <w:tc>
          <w:tcPr/>
          <w:p>
            <w:pPr>
              <w:pStyle w:val="Compact"/>
            </w:pPr>
            <w:r>
              <w:t xml:space="preserve">Adjusted EBITDA</w:t>
            </w:r>
          </w:p>
        </w:tc>
        <w:tc>
          <w:tcPr/>
          <w:p>
            <w:pPr>
              <w:pStyle w:val="Compact"/>
              <w:jc w:val="right"/>
            </w:pPr>
            <m:oMath>
              <m:r>
                <m:t>3.49</m:t>
              </m:r>
              <m:r>
                <m:t>B</m:t>
              </m:r>
              <m:r>
                <m:rPr>
                  <m:sty m:val="p"/>
                </m:rPr>
                <m:t>–</m:t>
              </m:r>
            </m:oMath>
            <w:r>
              <w:rPr>
                <w:b/>
                <w:bCs/>
              </w:rPr>
              <w:t xml:space="preserve">3.65B</w:t>
            </w:r>
          </w:p>
        </w:tc>
      </w:tr>
      <w:tr>
        <w:tc>
          <w:tcPr/>
          <w:p>
            <w:pPr>
              <w:pStyle w:val="Compact"/>
            </w:pPr>
            <w:r>
              <w:t xml:space="preserve">Adjusted EPS</w:t>
            </w:r>
          </w:p>
        </w:tc>
        <w:tc>
          <w:tcPr/>
          <w:p>
            <w:pPr>
              <w:pStyle w:val="Compact"/>
              <w:jc w:val="right"/>
            </w:pPr>
            <m:oMath>
              <m:r>
                <m:t>13.55</m:t>
              </m:r>
              <m:r>
                <m:rPr>
                  <m:sty m:val="p"/>
                </m:rPr>
                <m:t>–</m:t>
              </m:r>
            </m:oMath>
            <w:r>
              <w:rPr>
                <w:b/>
                <w:bCs/>
              </w:rPr>
              <w:t xml:space="preserve">14.25</w:t>
            </w:r>
          </w:p>
        </w:tc>
      </w:tr>
      <w:tr>
        <w:tc>
          <w:tcPr/>
          <w:p>
            <w:pPr>
              <w:pStyle w:val="Compact"/>
            </w:pPr>
            <w:r>
              <w:t xml:space="preserve">Operating cash flow</w:t>
            </w:r>
          </w:p>
        </w:tc>
        <w:tc>
          <w:tcPr/>
          <w:p>
            <w:pPr>
              <w:pStyle w:val="Compact"/>
              <w:jc w:val="right"/>
            </w:pPr>
            <m:oMath>
              <m:r>
                <m:t>2.35</m:t>
              </m:r>
              <m:r>
                <m:t>B</m:t>
              </m:r>
              <m:r>
                <m:rPr>
                  <m:sty m:val="p"/>
                </m:rPr>
                <m:t>–</m:t>
              </m:r>
            </m:oMath>
            <w:r>
              <w:rPr>
                <w:b/>
                <w:bCs/>
              </w:rPr>
              <w:t xml:space="preserve">2.85B</w:t>
            </w:r>
          </w:p>
        </w:tc>
      </w:tr>
      <w:tr>
        <w:tc>
          <w:tcPr/>
          <w:p>
            <w:pPr>
              <w:pStyle w:val="Compact"/>
            </w:pPr>
            <w:r>
              <w:t xml:space="preserve">Free cash flow</w:t>
            </w:r>
          </w:p>
        </w:tc>
        <w:tc>
          <w:tcPr/>
          <w:p>
            <w:pPr>
              <w:pStyle w:val="Compact"/>
              <w:jc w:val="right"/>
            </w:pPr>
            <m:oMath>
              <m:r>
                <m:t>1.55</m:t>
              </m:r>
              <m:r>
                <m:t>B</m:t>
              </m:r>
              <m:r>
                <m:rPr>
                  <m:sty m:val="p"/>
                </m:rPr>
                <m:t>–</m:t>
              </m:r>
            </m:oMath>
            <w:r>
              <w:rPr>
                <w:b/>
                <w:bCs/>
              </w:rPr>
              <w:t xml:space="preserve">2.05B</w:t>
            </w:r>
          </w:p>
        </w:tc>
      </w:tr>
    </w:tbl>
    <w:p>
      <w:pPr>
        <w:pStyle w:val="BodyText"/>
      </w:pPr>
      <w:r>
        <w:t xml:space="preserve">Management already raised almost every major operating metric following Q1, while leaving free-cash-flow guidance unchanged. (</w:t>
      </w:r>
      <w:hyperlink r:id="rId10">
        <w:r>
          <w:rPr>
            <w:rStyle w:val="Hyperlink"/>
          </w:rPr>
          <w:t xml:space="preserve">investors.quantaservices.com</w:t>
        </w:r>
      </w:hyperlink>
      <w:r>
        <w:t xml:space="preserve">)</w:t>
      </w:r>
    </w:p>
    <w:p>
      <w:pPr>
        <w:pStyle w:val="BodyText"/>
      </w:pPr>
      <w:r>
        <w:t xml:space="preserve">Given that the first-quarter raise incorporated both the Q1 outperformance and stronger expectations for the remainder of the year, simply reiterating guidance would not automatically indicate deterioration. Nevertheless, the valuation suggests investors are likely expecting at least one of the following:</w:t>
      </w:r>
    </w:p>
    <w:p>
      <w:pPr>
        <w:pStyle w:val="Compact"/>
        <w:numPr>
          <w:ilvl w:val="0"/>
          <w:numId w:val="1004"/>
        </w:numPr>
      </w:pPr>
      <w:r>
        <w:t xml:space="preserve">A higher adjusted-EPS range;</w:t>
      </w:r>
    </w:p>
    <w:p>
      <w:pPr>
        <w:pStyle w:val="Compact"/>
        <w:numPr>
          <w:ilvl w:val="0"/>
          <w:numId w:val="1004"/>
        </w:numPr>
      </w:pPr>
      <w:r>
        <w:t xml:space="preserve">A higher revenue or EBITDA range;</w:t>
      </w:r>
    </w:p>
    <w:p>
      <w:pPr>
        <w:pStyle w:val="Compact"/>
        <w:numPr>
          <w:ilvl w:val="0"/>
          <w:numId w:val="1004"/>
        </w:numPr>
      </w:pPr>
      <w:r>
        <w:t xml:space="preserve">Strong commentary that results are tracking toward the top end;</w:t>
      </w:r>
    </w:p>
    <w:p>
      <w:pPr>
        <w:pStyle w:val="Compact"/>
        <w:numPr>
          <w:ilvl w:val="0"/>
          <w:numId w:val="1004"/>
        </w:numPr>
      </w:pPr>
      <w:r>
        <w:t xml:space="preserve">Incremental backlog visibility supporting 2027.</w:t>
      </w:r>
    </w:p>
    <w:p>
      <w:pPr>
        <w:pStyle w:val="FirstParagraph"/>
      </w:pPr>
      <w:r>
        <w:t xml:space="preserve">A raise consisting only of the quarterly beat being carried forward would be less powerful than a raise driven by improved second-half margins or organic demand.</w:t>
      </w:r>
    </w:p>
    <w:bookmarkEnd w:id="18"/>
    <w:bookmarkStart w:id="20" w:name="Xdd2d9dae8d1309646e9143a3fbcd0f409717648"/>
    <w:p>
      <w:pPr>
        <w:pStyle w:val="Heading3"/>
      </w:pPr>
      <w:r>
        <w:t xml:space="preserve">5. Cash conversion and capital allocation</w:t>
      </w:r>
    </w:p>
    <w:p>
      <w:pPr>
        <w:pStyle w:val="FirstParagraph"/>
      </w:pPr>
      <w:r>
        <w:t xml:space="preserve">Q1 free cash flow was $184 million, while management said cash generation should strengthen materially through year-end. Days sales outstanding were a favorable 61 days, but Quanta is simultaneously investing in transformer capacity, fabrication facilities, training and other supply-chain capabilities. (</w:t>
      </w:r>
      <w:hyperlink r:id="rId13">
        <w:r>
          <w:rPr>
            <w:rStyle w:val="Hyperlink"/>
          </w:rPr>
          <w:t xml:space="preserve">uk.marketscreener.com</w:t>
        </w:r>
      </w:hyperlink>
      <w:r>
        <w:t xml:space="preserve">)</w:t>
      </w:r>
    </w:p>
    <w:p>
      <w:pPr>
        <w:pStyle w:val="BodyText"/>
      </w:pPr>
      <w:r>
        <w:t xml:space="preserve">Investors should watch:</w:t>
      </w:r>
    </w:p>
    <w:p>
      <w:pPr>
        <w:pStyle w:val="Compact"/>
        <w:numPr>
          <w:ilvl w:val="0"/>
          <w:numId w:val="1005"/>
        </w:numPr>
      </w:pPr>
      <w:r>
        <w:t xml:space="preserve">Whether full-year free-cash-flow guidance remains intact;</w:t>
      </w:r>
    </w:p>
    <w:p>
      <w:pPr>
        <w:pStyle w:val="Compact"/>
        <w:numPr>
          <w:ilvl w:val="0"/>
          <w:numId w:val="1005"/>
        </w:numPr>
      </w:pPr>
      <w:r>
        <w:t xml:space="preserve">Working-capital needs associated with rapid growth;</w:t>
      </w:r>
    </w:p>
    <w:p>
      <w:pPr>
        <w:pStyle w:val="Compact"/>
        <w:numPr>
          <w:ilvl w:val="0"/>
          <w:numId w:val="1005"/>
        </w:numPr>
      </w:pPr>
      <w:r>
        <w:t xml:space="preserve">Updated capital-expenditure expectations;</w:t>
      </w:r>
    </w:p>
    <w:p>
      <w:pPr>
        <w:pStyle w:val="Compact"/>
        <w:numPr>
          <w:ilvl w:val="0"/>
          <w:numId w:val="1005"/>
        </w:numPr>
      </w:pPr>
      <w:r>
        <w:t xml:space="preserve">Acquisition activity;</w:t>
      </w:r>
    </w:p>
    <w:p>
      <w:pPr>
        <w:pStyle w:val="Compact"/>
        <w:numPr>
          <w:ilvl w:val="0"/>
          <w:numId w:val="1005"/>
        </w:numPr>
      </w:pPr>
      <w:r>
        <w:t xml:space="preserve">Whether the recent stock decline makes repurchases more attractive.</w:t>
      </w:r>
    </w:p>
    <w:p>
      <w:pPr>
        <w:pStyle w:val="FirstParagraph"/>
      </w:pPr>
      <w:r>
        <w:t xml:space="preserve">Quanta authorized a new</w:t>
      </w:r>
      <w:r>
        <w:t xml:space="preserve"> </w:t>
      </w:r>
      <w:r>
        <w:rPr>
          <w:b/>
          <w:bCs/>
        </w:rPr>
        <w:t xml:space="preserve">$1 billion share-repurchase program</w:t>
      </w:r>
      <w:r>
        <w:t xml:space="preserve"> </w:t>
      </w:r>
      <w:r>
        <w:t xml:space="preserve">in May. It is not large relative to the company’s market capitalization, but management commentary on buybacks could provide a useful indication of how it views the stock following the pullback. (</w:t>
      </w:r>
      <w:hyperlink r:id="rId19">
        <w:r>
          <w:rPr>
            <w:rStyle w:val="Hyperlink"/>
          </w:rPr>
          <w:t xml:space="preserve">investors.quantaservices.com</w:t>
        </w:r>
      </w:hyperlink>
      <w:r>
        <w:t xml:space="preserve">)</w:t>
      </w:r>
    </w:p>
    <w:bookmarkEnd w:id="20"/>
    <w:bookmarkEnd w:id="21"/>
    <w:bookmarkStart w:id="22" w:name="questions-management-needs-to-answer"/>
    <w:p>
      <w:pPr>
        <w:pStyle w:val="Heading2"/>
      </w:pPr>
      <w:r>
        <w:t xml:space="preserve">Questions management needs to answer</w:t>
      </w:r>
    </w:p>
    <w:p>
      <w:pPr>
        <w:pStyle w:val="Compact"/>
        <w:numPr>
          <w:ilvl w:val="0"/>
          <w:numId w:val="1006"/>
        </w:numPr>
      </w:pPr>
      <w:r>
        <w:rPr>
          <w:b/>
          <w:bCs/>
        </w:rPr>
        <w:t xml:space="preserve">How much of Q2 growth was organic versus acquisition-driven?</w:t>
      </w:r>
    </w:p>
    <w:p>
      <w:pPr>
        <w:pStyle w:val="Compact"/>
        <w:numPr>
          <w:ilvl w:val="0"/>
          <w:numId w:val="1006"/>
        </w:numPr>
      </w:pPr>
      <w:r>
        <w:rPr>
          <w:b/>
          <w:bCs/>
        </w:rPr>
        <w:t xml:space="preserve">Are hyperscalers or data-center developers changing project timing amid growing scrutiny of AI capital spending?</w:t>
      </w:r>
    </w:p>
    <w:p>
      <w:pPr>
        <w:pStyle w:val="Compact"/>
        <w:numPr>
          <w:ilvl w:val="0"/>
          <w:numId w:val="1006"/>
        </w:numPr>
      </w:pPr>
      <w:r>
        <w:rPr>
          <w:b/>
          <w:bCs/>
        </w:rPr>
        <w:t xml:space="preserve">When will meaningful portions of the NiSource opportunity enter backlog and revenue?</w:t>
      </w:r>
    </w:p>
    <w:p>
      <w:pPr>
        <w:pStyle w:val="Compact"/>
        <w:numPr>
          <w:ilvl w:val="0"/>
          <w:numId w:val="1006"/>
        </w:numPr>
      </w:pPr>
      <w:r>
        <w:rPr>
          <w:b/>
          <w:bCs/>
        </w:rPr>
        <w:t xml:space="preserve">How quickly can Quanta scale 765-kV transformer and transmission capacity?</w:t>
      </w:r>
    </w:p>
    <w:p>
      <w:pPr>
        <w:pStyle w:val="Compact"/>
        <w:numPr>
          <w:ilvl w:val="0"/>
          <w:numId w:val="1006"/>
        </w:numPr>
      </w:pPr>
      <w:r>
        <w:rPr>
          <w:b/>
          <w:bCs/>
        </w:rPr>
        <w:t xml:space="preserve">Can Underground and Infrastructure reach double-digit margins earlier than the 2030 plan implies?</w:t>
      </w:r>
    </w:p>
    <w:p>
      <w:pPr>
        <w:pStyle w:val="Compact"/>
        <w:numPr>
          <w:ilvl w:val="0"/>
          <w:numId w:val="1006"/>
        </w:numPr>
      </w:pPr>
      <w:r>
        <w:rPr>
          <w:b/>
          <w:bCs/>
        </w:rPr>
        <w:t xml:space="preserve">Is bridge power becoming a material revenue opportunity, or does management still view grid interconnection as the primary long-term solution?</w:t>
      </w:r>
    </w:p>
    <w:p>
      <w:pPr>
        <w:pStyle w:val="Compact"/>
        <w:numPr>
          <w:ilvl w:val="0"/>
          <w:numId w:val="1006"/>
        </w:numPr>
      </w:pPr>
      <w:r>
        <w:rPr>
          <w:b/>
          <w:bCs/>
        </w:rPr>
        <w:t xml:space="preserve">Are craft-labor availability, wage inflation or supervision becoming constraints?</w:t>
      </w:r>
    </w:p>
    <w:p>
      <w:pPr>
        <w:pStyle w:val="Compact"/>
        <w:numPr>
          <w:ilvl w:val="0"/>
          <w:numId w:val="1006"/>
        </w:numPr>
      </w:pPr>
      <w:r>
        <w:rPr>
          <w:b/>
          <w:bCs/>
        </w:rPr>
        <w:t xml:space="preserve">How much risk is Quanta willing to accept on gas-generation projects, particularly combined-cycle facilities?</w:t>
      </w:r>
    </w:p>
    <w:p>
      <w:pPr>
        <w:pStyle w:val="Compact"/>
        <w:numPr>
          <w:ilvl w:val="0"/>
          <w:numId w:val="1006"/>
        </w:numPr>
      </w:pPr>
      <w:r>
        <w:rPr>
          <w:b/>
          <w:bCs/>
        </w:rPr>
        <w:t xml:space="preserve">Will the company actively use its new repurchase authorization at current prices?</w:t>
      </w:r>
    </w:p>
    <w:bookmarkEnd w:id="22"/>
    <w:bookmarkStart w:id="26" w:name="scenario-framework"/>
    <w:p>
      <w:pPr>
        <w:pStyle w:val="Heading2"/>
      </w:pPr>
      <w:r>
        <w:t xml:space="preserve">Scenario framework</w:t>
      </w:r>
    </w:p>
    <w:bookmarkStart w:id="23" w:name="bullish-report"/>
    <w:p>
      <w:pPr>
        <w:pStyle w:val="Heading3"/>
      </w:pPr>
      <w:r>
        <w:t xml:space="preserve">Bullish report</w:t>
      </w:r>
    </w:p>
    <w:p>
      <w:pPr>
        <w:pStyle w:val="Compact"/>
        <w:numPr>
          <w:ilvl w:val="0"/>
          <w:numId w:val="1007"/>
        </w:numPr>
      </w:pPr>
      <w:r>
        <w:t xml:space="preserve">Revenue above approximately</w:t>
      </w:r>
      <w:r>
        <w:t xml:space="preserve"> </w:t>
      </w:r>
      <w:r>
        <w:rPr>
          <w:b/>
          <w:bCs/>
        </w:rPr>
        <w:t xml:space="preserve">$8.7B</w:t>
      </w:r>
    </w:p>
    <w:p>
      <w:pPr>
        <w:pStyle w:val="Compact"/>
        <w:numPr>
          <w:ilvl w:val="0"/>
          <w:numId w:val="1007"/>
        </w:numPr>
      </w:pPr>
      <w:r>
        <w:t xml:space="preserve">Adjusted EPS above</w:t>
      </w:r>
      <w:r>
        <w:t xml:space="preserve"> </w:t>
      </w:r>
      <w:r>
        <w:rPr>
          <w:b/>
          <w:bCs/>
        </w:rPr>
        <w:t xml:space="preserve">$3.35</w:t>
      </w:r>
    </w:p>
    <w:p>
      <w:pPr>
        <w:pStyle w:val="Compact"/>
        <w:numPr>
          <w:ilvl w:val="0"/>
          <w:numId w:val="1007"/>
        </w:numPr>
      </w:pPr>
      <w:r>
        <w:t xml:space="preserve">Electric margin at or above 10%</w:t>
      </w:r>
    </w:p>
    <w:p>
      <w:pPr>
        <w:pStyle w:val="Compact"/>
        <w:numPr>
          <w:ilvl w:val="0"/>
          <w:numId w:val="1007"/>
        </w:numPr>
      </w:pPr>
      <w:r>
        <w:t xml:space="preserve">Underground and Infrastructure margin around 8% or better</w:t>
      </w:r>
    </w:p>
    <w:p>
      <w:pPr>
        <w:pStyle w:val="Compact"/>
        <w:numPr>
          <w:ilvl w:val="0"/>
          <w:numId w:val="1007"/>
        </w:numPr>
      </w:pPr>
      <w:r>
        <w:t xml:space="preserve">Backlog comfortably above $50B, with visible NiSource, transmission or large-load additions</w:t>
      </w:r>
    </w:p>
    <w:p>
      <w:pPr>
        <w:pStyle w:val="Compact"/>
        <w:numPr>
          <w:ilvl w:val="0"/>
          <w:numId w:val="1007"/>
        </w:numPr>
      </w:pPr>
      <w:r>
        <w:t xml:space="preserve">Full-year adjusted-EPS guidance raised above the current $14.25 high end</w:t>
      </w:r>
    </w:p>
    <w:p>
      <w:pPr>
        <w:pStyle w:val="Compact"/>
        <w:numPr>
          <w:ilvl w:val="0"/>
          <w:numId w:val="1007"/>
        </w:numPr>
      </w:pPr>
      <w:r>
        <w:t xml:space="preserve">No weakening in data-center demand</w:t>
      </w:r>
    </w:p>
    <w:bookmarkEnd w:id="23"/>
    <w:bookmarkStart w:id="24" w:name="acceptablebase-case-report"/>
    <w:p>
      <w:pPr>
        <w:pStyle w:val="Heading3"/>
      </w:pPr>
      <w:r>
        <w:t xml:space="preserve">Acceptable/base-case report</w:t>
      </w:r>
    </w:p>
    <w:p>
      <w:pPr>
        <w:pStyle w:val="Compact"/>
        <w:numPr>
          <w:ilvl w:val="0"/>
          <w:numId w:val="1008"/>
        </w:numPr>
      </w:pPr>
      <w:r>
        <w:t xml:space="preserve">Revenue and EPS close to consensus</w:t>
      </w:r>
    </w:p>
    <w:p>
      <w:pPr>
        <w:pStyle w:val="Compact"/>
        <w:numPr>
          <w:ilvl w:val="0"/>
          <w:numId w:val="1008"/>
        </w:numPr>
      </w:pPr>
      <w:r>
        <w:t xml:space="preserve">Sequential margin improvement</w:t>
      </w:r>
    </w:p>
    <w:p>
      <w:pPr>
        <w:pStyle w:val="Compact"/>
        <w:numPr>
          <w:ilvl w:val="0"/>
          <w:numId w:val="1008"/>
        </w:numPr>
      </w:pPr>
      <w:r>
        <w:t xml:space="preserve">Backlog remains near record levels</w:t>
      </w:r>
    </w:p>
    <w:p>
      <w:pPr>
        <w:pStyle w:val="Compact"/>
        <w:numPr>
          <w:ilvl w:val="0"/>
          <w:numId w:val="1008"/>
        </w:numPr>
      </w:pPr>
      <w:r>
        <w:t xml:space="preserve">Guidance reiterated or modestly increased</w:t>
      </w:r>
    </w:p>
    <w:p>
      <w:pPr>
        <w:pStyle w:val="Compact"/>
        <w:numPr>
          <w:ilvl w:val="0"/>
          <w:numId w:val="1008"/>
        </w:numPr>
      </w:pPr>
      <w:r>
        <w:t xml:space="preserve">Management maintains confidence in the second-half cash-flow ramp and 2027 pipeline</w:t>
      </w:r>
    </w:p>
    <w:bookmarkEnd w:id="24"/>
    <w:bookmarkStart w:id="25" w:name="bearish-report"/>
    <w:p>
      <w:pPr>
        <w:pStyle w:val="Heading3"/>
      </w:pPr>
      <w:r>
        <w:t xml:space="preserve">Bearish report</w:t>
      </w:r>
    </w:p>
    <w:p>
      <w:pPr>
        <w:pStyle w:val="Compact"/>
        <w:numPr>
          <w:ilvl w:val="0"/>
          <w:numId w:val="1009"/>
        </w:numPr>
      </w:pPr>
      <w:r>
        <w:t xml:space="preserve">Organic growth slows materially despite acquisition contributions</w:t>
      </w:r>
    </w:p>
    <w:p>
      <w:pPr>
        <w:pStyle w:val="Compact"/>
        <w:numPr>
          <w:ilvl w:val="0"/>
          <w:numId w:val="1009"/>
        </w:numPr>
      </w:pPr>
      <w:r>
        <w:t xml:space="preserve">Electric margin remains below 10% without a clear explanation</w:t>
      </w:r>
    </w:p>
    <w:p>
      <w:pPr>
        <w:pStyle w:val="Compact"/>
        <w:numPr>
          <w:ilvl w:val="0"/>
          <w:numId w:val="1009"/>
        </w:numPr>
      </w:pPr>
      <w:r>
        <w:t xml:space="preserve">Underground margin recovery stalls</w:t>
      </w:r>
    </w:p>
    <w:p>
      <w:pPr>
        <w:pStyle w:val="Compact"/>
        <w:numPr>
          <w:ilvl w:val="0"/>
          <w:numId w:val="1009"/>
        </w:numPr>
      </w:pPr>
      <w:r>
        <w:t xml:space="preserve">Backlog declines or large-load awards are deferred</w:t>
      </w:r>
    </w:p>
    <w:p>
      <w:pPr>
        <w:pStyle w:val="Compact"/>
        <w:numPr>
          <w:ilvl w:val="0"/>
          <w:numId w:val="1009"/>
        </w:numPr>
      </w:pPr>
      <w:r>
        <w:t xml:space="preserve">Guidance is merely reiterated after a weak quarter, or the company lowers cash-flow expectations</w:t>
      </w:r>
    </w:p>
    <w:p>
      <w:pPr>
        <w:pStyle w:val="Compact"/>
        <w:numPr>
          <w:ilvl w:val="0"/>
          <w:numId w:val="1009"/>
        </w:numPr>
      </w:pPr>
      <w:r>
        <w:t xml:space="preserve">Commentary indicates labor, project timing or data-center demand is becoming less certain</w:t>
      </w:r>
    </w:p>
    <w:bookmarkEnd w:id="25"/>
    <w:bookmarkEnd w:id="26"/>
    <w:bookmarkStart w:id="28" w:name="bottom-line"/>
    <w:p>
      <w:pPr>
        <w:pStyle w:val="Heading2"/>
      </w:pPr>
      <w:r>
        <w:t xml:space="preserve">Bottom line</w:t>
      </w:r>
    </w:p>
    <w:p>
      <w:pPr>
        <w:pStyle w:val="FirstParagraph"/>
      </w:pPr>
      <w:r>
        <w:t xml:space="preserve">The fundamental backdrop remains highly attractive: utility capital spending, grid modernization, generation additions, data centers, transformer shortages and craft-labor constraints all favor Quanta’s integrated model. The company has also framed the opportunity as a multiyear compounding story, with a goal of more than doubling adjusted EPS by 2030. (</w:t>
      </w:r>
      <w:hyperlink r:id="rId27">
        <w:r>
          <w:rPr>
            <w:rStyle w:val="Hyperlink"/>
          </w:rPr>
          <w:t xml:space="preserve">investors.quantaservices.com</w:t>
        </w:r>
      </w:hyperlink>
      <w:r>
        <w:t xml:space="preserve">)</w:t>
      </w:r>
    </w:p>
    <w:p>
      <w:pPr>
        <w:pStyle w:val="BodyText"/>
      </w:pPr>
      <w:r>
        <w:t xml:space="preserve">For this quarter, however,</w:t>
      </w:r>
      <w:r>
        <w:t xml:space="preserve"> </w:t>
      </w:r>
      <w:r>
        <w:rPr>
          <w:b/>
          <w:bCs/>
        </w:rPr>
        <w:t xml:space="preserve">the hurdle is higher than the published consensus</w:t>
      </w:r>
      <w:r>
        <w:t xml:space="preserve">. The cleanest positive outcome would combine a revenue and EPS beat with double-digit Electric margins, continued improvement in Underground and Infrastructure, backlog growth into or above the $50 billion range, and a meaningful guidance increase. A headline beat driven mainly by acquisitions, with soft margins and no increase in forward expectations, could produce a muted or negative stock response despite strong reported growth.</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investors.quantaservices.com/news-events/press-releases/detail/396/quanta-services-reports-first-quarter-2026-results?utm_source=openai" TargetMode="External" /><Relationship Type="http://schemas.openxmlformats.org/officeDocument/2006/relationships/hyperlink" Id="rId19" Target="https://investors.quantaservices.com/news-events/press-releases/detail/399/quanta-services-announces-quarterly-cash-dividend-and-new-1-billion-stock-repurchase-program?utm_source=openai" TargetMode="External" /><Relationship Type="http://schemas.openxmlformats.org/officeDocument/2006/relationships/hyperlink" Id="rId9" Target="https://investors.quantaservices.com/news-events/press-releases/detail/400/quanta-services-announces-second-quarter-2026-earnings-release-webcast-schedule?utm_source=openai" TargetMode="External" /><Relationship Type="http://schemas.openxmlformats.org/officeDocument/2006/relationships/hyperlink" Id="rId27" Target="https://investors.quantaservices.com/sec-filings/all-sec-filings/content/0001193125-26-193918/d107542dex991.htm?utm_source=openai" TargetMode="External" /><Relationship Type="http://schemas.openxmlformats.org/officeDocument/2006/relationships/hyperlink" Id="rId13" Target="https://uk.marketscreener.com/news/quanta-services-1q-2026-operational-financial-commentary-ce7f58dbde8af121" TargetMode="External" /><Relationship Type="http://schemas.openxmlformats.org/officeDocument/2006/relationships/hyperlink" Id="rId12" Target="https://www.benzinga.com/quote/PWR/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0" Target="https://investors.quantaservices.com/news-events/press-releases/detail/396/quanta-services-reports-first-quarter-2026-results?utm_source=openai" TargetMode="External" /><Relationship Type="http://schemas.openxmlformats.org/officeDocument/2006/relationships/hyperlink" Id="rId19" Target="https://investors.quantaservices.com/news-events/press-releases/detail/399/quanta-services-announces-quarterly-cash-dividend-and-new-1-billion-stock-repurchase-program?utm_source=openai" TargetMode="External" /><Relationship Type="http://schemas.openxmlformats.org/officeDocument/2006/relationships/hyperlink" Id="rId9" Target="https://investors.quantaservices.com/news-events/press-releases/detail/400/quanta-services-announces-second-quarter-2026-earnings-release-webcast-schedule?utm_source=openai" TargetMode="External" /><Relationship Type="http://schemas.openxmlformats.org/officeDocument/2006/relationships/hyperlink" Id="rId27" Target="https://investors.quantaservices.com/sec-filings/all-sec-filings/content/0001193125-26-193918/d107542dex991.htm?utm_source=openai" TargetMode="External" /><Relationship Type="http://schemas.openxmlformats.org/officeDocument/2006/relationships/hyperlink" Id="rId13" Target="https://uk.marketscreener.com/news/quanta-services-1q-2026-operational-financial-commentary-ce7f58dbde8af121" TargetMode="External" /><Relationship Type="http://schemas.openxmlformats.org/officeDocument/2006/relationships/hyperlink" Id="rId12" Target="https://www.benzinga.com/quote/PWR/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2026-07-29T18:38:37Z</dcterms:created>
  <dcterms:modified xsi:type="dcterms:W3CDTF">2026-07-29T18:38:37Z</dcterms:modified>
</cp:coreProperties>
</file>

<file path=docProps/custom.xml><?xml version="1.0" encoding="utf-8"?>
<Properties xmlns="http://schemas.openxmlformats.org/officeDocument/2006/custom-properties" xmlns:vt="http://schemas.openxmlformats.org/officeDocument/2006/docPropsVTypes"/>
</file>