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wr-earnings-predictions--2026-07-30"/>
    <w:p>
      <w:pPr>
        <w:pStyle w:val="Heading1"/>
      </w:pPr>
      <w:r>
        <w:t xml:space="preserve">PWR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~$8.73B vs. cons $8.55B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~$3.41 vs. cons $3.27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backlog at 2Q26 end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~$50.8B vs. cons $50.4B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~$14.20 vs. cons $14.07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~$35.25B vs. cons $35.05B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~$3.70B vs. cons $3.64B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free-cash-flow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~$1.80B vs. cons $1.80B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(FOLLOW-THROUGH)</w:t>
            </w:r>
          </w:p>
        </w:tc>
        <w:tc>
          <w:tcPr/>
          <w:p>
            <w:pPr>
              <w:pStyle w:val="Compact"/>
            </w:pPr>
            <w:r>
              <w:t xml:space="preserve">A revenue and EPS beat paired with a modest FY26 EPS/EBITDA raise implies favorable second-half operating math: the implied 2H adjusted EPS outlook rises to ~</w:t>
            </w:r>
            <m:oMath>
              <m:r>
                <m:t>8.12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7.99 before the update. In-line backlog limits the initial upside, but continued margin progression and upward out-period estimates should support follow-through rather than a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2026-07-29T18:37:04Z</dcterms:created>
  <dcterms:modified xsi:type="dcterms:W3CDTF">2026-07-29T18:37:04Z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