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a47aa199921b5ca538d8e1aac605fc5ba5e10ab"/>
    <w:p>
      <w:pPr>
        <w:pStyle w:val="Heading1"/>
      </w:pPr>
      <w:r>
        <w:t xml:space="preserve">Quanta Services (NYSE: PWR)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Thursday, July 30, 2026, before market open</w:t>
      </w:r>
      <w:r>
        <w:br/>
      </w:r>
      <w:r>
        <w:rPr>
          <w:b/>
          <w:bCs/>
        </w:rPr>
        <w:t xml:space="preserve">Core debate:</w:t>
      </w:r>
      <w:r>
        <w:t xml:space="preserve"> </w:t>
      </w:r>
      <w:r>
        <w:t xml:space="preserve">Can Quanta continue converting exceptional demand for grid, generation, and large-load/data-center infrastructure into</w:t>
      </w:r>
      <w:r>
        <w:t xml:space="preserve"> </w:t>
      </w:r>
      <w:r>
        <w:rPr>
          <w:b/>
          <w:bCs/>
        </w:rPr>
        <w:t xml:space="preserve">higher backlog, accelerating revenue, and durable margin expansion</w:t>
      </w:r>
      <w:r>
        <w:t xml:space="preserve">—while keeping full-year guidance conservative enough to support another raise?</w:t>
      </w:r>
    </w:p>
    <w:bookmarkStart w:id="9" w:name="snapshot-expectations-are-high"/>
    <w:p>
      <w:pPr>
        <w:pStyle w:val="Heading2"/>
      </w:pPr>
      <w:r>
        <w:t xml:space="preserve">Snapshot: expectations are high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$8.55B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$6.77B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+26%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$3.27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backlog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~$50.4B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$35.8B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+41%</w:t>
            </w:r>
          </w:p>
        </w:tc>
      </w:tr>
    </w:tbl>
    <w:p>
      <w:pPr>
        <w:pStyle w:val="BodyText"/>
      </w:pPr>
      <w:r>
        <w:t xml:space="preserve">Consensus implies backlog rises another roughly</w:t>
      </w:r>
      <w:r>
        <w:t xml:space="preserve"> </w:t>
      </w:r>
      <w:r>
        <w:rPr>
          <w:b/>
          <w:bCs/>
        </w:rPr>
        <w:t xml:space="preserve">4% sequentially</w:t>
      </w:r>
      <w:r>
        <w:t xml:space="preserve"> </w:t>
      </w:r>
      <w:r>
        <w:t xml:space="preserve">from the record $48.5B reported at the end of 1Q26.</w:t>
      </w:r>
    </w:p>
    <w:p>
      <w:pPr>
        <w:pStyle w:val="BodyText"/>
      </w:pPr>
      <w:r>
        <w:t xml:space="preserve">PWR closed July 29 at</w:t>
      </w:r>
      <w:r>
        <w:t xml:space="preserve"> </w:t>
      </w:r>
      <w:r>
        <w:rPr>
          <w:b/>
          <w:bCs/>
        </w:rPr>
        <w:t xml:space="preserve">$569.45</w:t>
      </w:r>
      <w:r>
        <w:t xml:space="preserve">—about</w:t>
      </w:r>
      <w:r>
        <w:t xml:space="preserve"> </w:t>
      </w:r>
      <w:r>
        <w:rPr>
          <w:b/>
          <w:bCs/>
        </w:rPr>
        <w:t xml:space="preserve">29.5% above</w:t>
      </w:r>
      <w:r>
        <w:t xml:space="preserve"> </w:t>
      </w:r>
      <w:r>
        <w:t xml:space="preserve">its January 2 close, but approximately</w:t>
      </w:r>
      <w:r>
        <w:t xml:space="preserve"> </w:t>
      </w:r>
      <w:r>
        <w:rPr>
          <w:b/>
          <w:bCs/>
        </w:rPr>
        <w:t xml:space="preserve">27.5% below</w:t>
      </w:r>
      <w:r>
        <w:t xml:space="preserve"> </w:t>
      </w:r>
      <w:r>
        <w:t xml:space="preserve">its May 6 closing high of $785.24. That pullback reduces some valuation/momentum risk, but the earnings bar remains demanding because investors expect both a quarterly beat and evidence that the multiyear growth algorithm is intact.</w:t>
      </w:r>
    </w:p>
    <w:bookmarkEnd w:id="9"/>
    <w:bookmarkStart w:id="10" w:name="X78d0388adddfd32b6ba1841c8b4853d55a1e39c"/>
    <w:p>
      <w:pPr>
        <w:pStyle w:val="Heading2"/>
      </w:pPr>
      <w:r>
        <w:t xml:space="preserve">The setup: 1Q set a very high starting point</w:t>
      </w:r>
    </w:p>
    <w:p>
      <w:pPr>
        <w:pStyle w:val="FirstParagraph"/>
      </w:pPr>
      <w:r>
        <w:t xml:space="preserve">Quanta entered the second quarter with substantial momentum: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1Q26 revenue:</w:t>
      </w:r>
      <w:r>
        <w:t xml:space="preserve"> </w:t>
      </w:r>
      <w:r>
        <w:t xml:space="preserve">$7.87B, up 26% year over year.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1Q26 adjusted EPS:</w:t>
      </w:r>
      <w:r>
        <w:t xml:space="preserve"> </w:t>
      </w:r>
      <w:r>
        <w:t xml:space="preserve">$2.68, up 51% year over year.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1Q26 adjusted EBITDA:</w:t>
      </w:r>
      <w:r>
        <w:t xml:space="preserve"> </w:t>
      </w:r>
      <w:r>
        <w:t xml:space="preserve">$686M, up 36% year over year.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1Q26 backlog:</w:t>
      </w:r>
      <w:r>
        <w:t xml:space="preserve"> </w:t>
      </w:r>
      <w:r>
        <w:t xml:space="preserve">$48.47B, up 38% year over year.</w:t>
      </w:r>
    </w:p>
    <w:p>
      <w:pPr>
        <w:pStyle w:val="Compact"/>
        <w:numPr>
          <w:ilvl w:val="0"/>
          <w:numId w:val="1001"/>
        </w:numPr>
      </w:pPr>
      <w:r>
        <w:t xml:space="preserve">Both operating segments delivered margin expansion:</w:t>
      </w:r>
      <w:r>
        <w:t xml:space="preserve"> </w:t>
      </w:r>
      <w:r>
        <w:rPr>
          <w:b/>
          <w:bCs/>
        </w:rPr>
        <w:t xml:space="preserve">Electric</w:t>
      </w:r>
      <w:r>
        <w:t xml:space="preserve"> </w:t>
      </w:r>
      <w:r>
        <w:t xml:space="preserve">operating margin reached 8.7% from 8.3%, while</w:t>
      </w:r>
      <w:r>
        <w:t xml:space="preserve"> </w:t>
      </w:r>
      <w:r>
        <w:rPr>
          <w:b/>
          <w:bCs/>
        </w:rPr>
        <w:t xml:space="preserve">Underground &amp; Infrastructure</w:t>
      </w:r>
      <w:r>
        <w:t xml:space="preserve"> </w:t>
      </w:r>
      <w:r>
        <w:t xml:space="preserve">improved to 7.5% from 6.0%.</w:t>
      </w:r>
    </w:p>
    <w:p>
      <w:pPr>
        <w:pStyle w:val="Compact"/>
        <w:numPr>
          <w:ilvl w:val="0"/>
          <w:numId w:val="1001"/>
        </w:numPr>
      </w:pPr>
      <w:r>
        <w:t xml:space="preserve">Management raised 2026 guidance after 1Q to</w:t>
      </w:r>
      <w:r>
        <w:t xml:space="preserve"> </w:t>
      </w:r>
      <m:oMath>
        <m:r>
          <m:t>34.7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35.2B of revenue</w:t>
      </w:r>
      <w:r>
        <w:t xml:space="preserve">,</w:t>
      </w:r>
      <w:r>
        <w:t xml:space="preserve"> </w:t>
      </w:r>
      <m:oMath>
        <m:r>
          <m:t>3.49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3.65B of adjusted EBITDA</w:t>
      </w:r>
      <w:r>
        <w:t xml:space="preserve">, and</w:t>
      </w:r>
      <w:r>
        <w:t xml:space="preserve"> </w:t>
      </w:r>
      <m:oMath>
        <m:r>
          <m:t>13.55</m:t>
        </m:r>
        <m:r>
          <m:rPr>
            <m:sty m:val="p"/>
          </m:rPr>
          <m:t>–</m:t>
        </m:r>
      </m:oMath>
      <w:r>
        <w:rPr>
          <w:b/>
          <w:bCs/>
        </w:rPr>
        <w:t xml:space="preserve">14.25 of adjusted EPS</w:t>
      </w:r>
      <w:r>
        <w:t xml:space="preserve">.</w:t>
      </w:r>
    </w:p>
    <w:p>
      <w:pPr>
        <w:pStyle w:val="FirstParagraph"/>
      </w:pPr>
      <w:r>
        <w:t xml:space="preserve">The important contextual point is that management characterized the 1Q outperformance as more than a timing benefit. It raised the full-year outlook by more than the first-quarter beat, emphasized strengthened visibility into the back half, and described backlog additions as broad-based rather than dependent on one isolated large award.</w:t>
      </w:r>
    </w:p>
    <w:bookmarkEnd w:id="10"/>
    <w:bookmarkStart w:id="15" w:name="what-matters-most-in-the-print"/>
    <w:p>
      <w:pPr>
        <w:pStyle w:val="Heading2"/>
      </w:pPr>
      <w:r>
        <w:t xml:space="preserve">What matters most in the print</w:t>
      </w:r>
    </w:p>
    <w:bookmarkStart w:id="11" w:name="X5facae6ddcbd1f1b1f61214a278d904383d8db1"/>
    <w:p>
      <w:pPr>
        <w:pStyle w:val="Heading3"/>
      </w:pPr>
      <w:r>
        <w:t xml:space="preserve">1. Backlog growth—and, more importantly, its composition</w:t>
      </w:r>
    </w:p>
    <w:p>
      <w:pPr>
        <w:pStyle w:val="FirstParagraph"/>
      </w:pPr>
      <w:r>
        <w:t xml:space="preserve">The headline figure to watch is total backlog versus the ~$50.4B expectation. But the qualitative details should matter more than a small numerical beat or miss.</w:t>
      </w:r>
    </w:p>
    <w:p>
      <w:pPr>
        <w:pStyle w:val="BodyText"/>
      </w:pPr>
      <w:r>
        <w:t xml:space="preserve">Investors should look for evidence of continued order growth across: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High-voltage transmission</w:t>
      </w:r>
      <w:r>
        <w:t xml:space="preserve">, including 765-kV programs and utility modernization;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Large-load and data-center interconnection</w:t>
      </w:r>
      <w:r>
        <w:t xml:space="preserve"> </w:t>
      </w:r>
      <w:r>
        <w:t xml:space="preserve">work;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Generation</w:t>
      </w:r>
      <w:r>
        <w:t xml:space="preserve">, particularly natural-gas and combined-cycle opportunities;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Renewables, storage, and grid-hardening</w:t>
      </w:r>
      <w:r>
        <w:t xml:space="preserve"> </w:t>
      </w:r>
      <w:r>
        <w:t xml:space="preserve">projects;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Technology and advanced-manufacturing infrastructure</w:t>
      </w:r>
      <w:r>
        <w:t xml:space="preserve">; and</w:t>
      </w:r>
    </w:p>
    <w:p>
      <w:pPr>
        <w:pStyle w:val="Compact"/>
        <w:numPr>
          <w:ilvl w:val="0"/>
          <w:numId w:val="1002"/>
        </w:numPr>
      </w:pPr>
      <w:r>
        <w:t xml:space="preserve">Expansion of negotiated, multi-year utility and customer programs.</w:t>
      </w:r>
    </w:p>
    <w:p>
      <w:pPr>
        <w:pStyle w:val="FirstParagraph"/>
      </w:pPr>
      <w:r>
        <w:t xml:space="preserve">At 1Q, management said backlog growth was broad-based, with 765-kV work representing less than one-quarter of the quarterly increase. That is constructive: it suggests the order book is being built from multiple end markets rather than a single mega-project.</w:t>
      </w:r>
    </w:p>
    <w:p>
      <w:pPr>
        <w:pStyle w:val="BodyText"/>
      </w:pPr>
      <w:r>
        <w:rPr>
          <w:b/>
          <w:bCs/>
        </w:rPr>
        <w:t xml:space="preserve">Bullish read-through:</w:t>
      </w:r>
      <w:r>
        <w:t xml:space="preserve"> </w:t>
      </w:r>
      <w:r>
        <w:t xml:space="preserve">backlog above $50B, firm RPO growth, and commentary that large-load and generation awards are progressing from pipeline to contracted work.</w:t>
      </w:r>
    </w:p>
    <w:p>
      <w:pPr>
        <w:pStyle w:val="BodyText"/>
      </w:pPr>
      <w:r>
        <w:rPr>
          <w:b/>
          <w:bCs/>
        </w:rPr>
        <w:t xml:space="preserve">Potential concern:</w:t>
      </w:r>
      <w:r>
        <w:t xml:space="preserve"> </w:t>
      </w:r>
      <w:r>
        <w:t xml:space="preserve">a headline backlog increase driven primarily by lower-quality MSA estimates, a slower conversion of announced generation opportunities into awards, or a lack of detail on the timing of project starts.</w:t>
      </w:r>
    </w:p>
    <w:bookmarkEnd w:id="11"/>
    <w:bookmarkStart w:id="12" w:name="Xbbc43ba94ecc4c12844301d14c2934a77f4acd6"/>
    <w:p>
      <w:pPr>
        <w:pStyle w:val="Heading3"/>
      </w:pPr>
      <w:r>
        <w:t xml:space="preserve">2. Electric revenue and margin durability</w:t>
      </w:r>
    </w:p>
    <w:p>
      <w:pPr>
        <w:pStyle w:val="FirstParagraph"/>
      </w:pPr>
      <w:r>
        <w:t xml:space="preserve">Electric represented</w:t>
      </w:r>
      <w:r>
        <w:t xml:space="preserve"> </w:t>
      </w:r>
      <w:r>
        <w:rPr>
          <w:b/>
          <w:bCs/>
        </w:rPr>
        <w:t xml:space="preserve">82% of 1Q revenue</w:t>
      </w:r>
      <w:r>
        <w:t xml:space="preserve"> </w:t>
      </w:r>
      <w:r>
        <w:t xml:space="preserve">and remains the main earnings engine. The segment’s 1Q revenue grew 31% year over year and its operating margin expanded 40 basis points to 8.7%.</w:t>
      </w:r>
    </w:p>
    <w:p>
      <w:pPr>
        <w:pStyle w:val="BodyText"/>
      </w:pPr>
      <w:r>
        <w:t xml:space="preserve">For 2Q, investors will focus on whether Quanta can sustain:</w:t>
      </w:r>
    </w:p>
    <w:p>
      <w:pPr>
        <w:pStyle w:val="Compact"/>
        <w:numPr>
          <w:ilvl w:val="0"/>
          <w:numId w:val="1003"/>
        </w:numPr>
      </w:pPr>
      <w:r>
        <w:t xml:space="preserve">Utility transmission and distribution execution;</w:t>
      </w:r>
    </w:p>
    <w:p>
      <w:pPr>
        <w:pStyle w:val="Compact"/>
        <w:numPr>
          <w:ilvl w:val="0"/>
          <w:numId w:val="1003"/>
        </w:numPr>
      </w:pPr>
      <w:r>
        <w:t xml:space="preserve">Data-center/grid-interconnection activity;</w:t>
      </w:r>
    </w:p>
    <w:p>
      <w:pPr>
        <w:pStyle w:val="Compact"/>
        <w:numPr>
          <w:ilvl w:val="0"/>
          <w:numId w:val="1003"/>
        </w:numPr>
      </w:pPr>
      <w:r>
        <w:t xml:space="preserve">Supply-chain advantages, including transformer capacity;</w:t>
      </w:r>
    </w:p>
    <w:p>
      <w:pPr>
        <w:pStyle w:val="Compact"/>
        <w:numPr>
          <w:ilvl w:val="0"/>
          <w:numId w:val="1003"/>
        </w:numPr>
      </w:pPr>
      <w:r>
        <w:t xml:space="preserve">Labor utilization and productivity; and</w:t>
      </w:r>
    </w:p>
    <w:p>
      <w:pPr>
        <w:pStyle w:val="Compact"/>
        <w:numPr>
          <w:ilvl w:val="0"/>
          <w:numId w:val="1003"/>
        </w:numPr>
      </w:pPr>
      <w:r>
        <w:t xml:space="preserve">Margin performance despite a rapidly growing revenue base.</w:t>
      </w:r>
    </w:p>
    <w:p>
      <w:pPr>
        <w:pStyle w:val="FirstParagraph"/>
      </w:pPr>
      <w:r>
        <w:t xml:space="preserve">Quanta has been investing aggressively in transformer manufacturing and off-site fabrication/logistics capacity. Those investments are strategically important because they address two major bottlenecks in power infrastructure: availability of critical equipment and skilled-labor constraints. The near-term tradeoff is higher capital intensity, so management’s comments on returns and cash conversion will matter.</w:t>
      </w:r>
    </w:p>
    <w:bookmarkEnd w:id="12"/>
    <w:bookmarkStart w:id="13" w:name="X78dd8dd2e700daffdfc43ae0d3c8f608d0d2dc6"/>
    <w:p>
      <w:pPr>
        <w:pStyle w:val="Heading3"/>
      </w:pPr>
      <w:r>
        <w:t xml:space="preserve">3. Underground &amp; Infrastructure: margin expansion is a key upside lever</w:t>
      </w:r>
    </w:p>
    <w:p>
      <w:pPr>
        <w:pStyle w:val="FirstParagraph"/>
      </w:pPr>
      <w:r>
        <w:t xml:space="preserve">This is arguably the most important margin debate. In 1Q, Underground &amp; Infrastructure margin expanded to</w:t>
      </w:r>
      <w:r>
        <w:t xml:space="preserve"> </w:t>
      </w:r>
      <w:r>
        <w:rPr>
          <w:b/>
          <w:bCs/>
        </w:rPr>
        <w:t xml:space="preserve">7.5%</w:t>
      </w:r>
      <w:r>
        <w:t xml:space="preserve"> </w:t>
      </w:r>
      <w:r>
        <w:t xml:space="preserve">from</w:t>
      </w:r>
      <w:r>
        <w:t xml:space="preserve"> </w:t>
      </w:r>
      <w:r>
        <w:rPr>
          <w:b/>
          <w:bCs/>
        </w:rPr>
        <w:t xml:space="preserve">6.0%</w:t>
      </w:r>
      <w:r>
        <w:t xml:space="preserve"> </w:t>
      </w:r>
      <w:r>
        <w:t xml:space="preserve">a year earlier, aided by execution and a better work mix, including Dynamic Systems.</w:t>
      </w:r>
    </w:p>
    <w:p>
      <w:pPr>
        <w:pStyle w:val="BodyText"/>
      </w:pPr>
      <w:r>
        <w:t xml:space="preserve">Management has indicated this segment has a path toward materially higher profitability over time, potentially including double-digit operating margins. The 2Q print should clarify whether 1Q was an early signal of a durable mix/operational shift or simply an unusually favorable quarter.</w:t>
      </w:r>
    </w:p>
    <w:p>
      <w:pPr>
        <w:pStyle w:val="BodyText"/>
      </w:pPr>
      <w:r>
        <w:t xml:space="preserve">Key watch items:</w:t>
      </w:r>
    </w:p>
    <w:p>
      <w:pPr>
        <w:pStyle w:val="Compact"/>
        <w:numPr>
          <w:ilvl w:val="0"/>
          <w:numId w:val="1004"/>
        </w:numPr>
      </w:pPr>
      <w:r>
        <w:t xml:space="preserve">Contribution and integration progress from</w:t>
      </w:r>
      <w:r>
        <w:t xml:space="preserve"> </w:t>
      </w:r>
      <w:r>
        <w:rPr>
          <w:b/>
          <w:bCs/>
        </w:rPr>
        <w:t xml:space="preserve">Dynamic Systems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Mechanical, plumbing, process, and modular work for data centers and advanced manufacturing;</w:t>
      </w:r>
    </w:p>
    <w:p>
      <w:pPr>
        <w:pStyle w:val="Compact"/>
        <w:numPr>
          <w:ilvl w:val="0"/>
          <w:numId w:val="1004"/>
        </w:numPr>
      </w:pPr>
      <w:r>
        <w:t xml:space="preserve">The pace of technology/load-center revenue growth;</w:t>
      </w:r>
    </w:p>
    <w:p>
      <w:pPr>
        <w:pStyle w:val="Compact"/>
        <w:numPr>
          <w:ilvl w:val="0"/>
          <w:numId w:val="1004"/>
        </w:numPr>
      </w:pPr>
      <w:r>
        <w:t xml:space="preserve">Margin trajectory versus the 1Q step-up; and</w:t>
      </w:r>
    </w:p>
    <w:p>
      <w:pPr>
        <w:pStyle w:val="Compact"/>
        <w:numPr>
          <w:ilvl w:val="0"/>
          <w:numId w:val="1004"/>
        </w:numPr>
      </w:pPr>
      <w:r>
        <w:t xml:space="preserve">Whether expansion is achieved without adverse working-capital or execution consequences.</w:t>
      </w:r>
    </w:p>
    <w:bookmarkEnd w:id="13"/>
    <w:bookmarkStart w:id="14" w:name="Xd88721ed55c63ea8bc44388386bb48a133c83e8"/>
    <w:p>
      <w:pPr>
        <w:pStyle w:val="Heading3"/>
      </w:pPr>
      <w:r>
        <w:t xml:space="preserve">4. Full-year guidance: a raise is possible, but not required for a good quarter</w:t>
      </w:r>
    </w:p>
    <w:p>
      <w:pPr>
        <w:pStyle w:val="FirstParagraph"/>
      </w:pPr>
      <w:r>
        <w:t xml:space="preserve">The existing 2026 adjusted-EPS range of</w:t>
      </w:r>
      <w:r>
        <w:t xml:space="preserve"> </w:t>
      </w:r>
      <m:oMath>
        <m:r>
          <m:t>13.55</m:t>
        </m:r>
        <m:r>
          <m:rPr>
            <m:sty m:val="p"/>
          </m:rPr>
          <m:t>–</m:t>
        </m:r>
      </m:oMath>
      <w:r>
        <w:rPr>
          <w:b/>
          <w:bCs/>
        </w:rPr>
        <w:t xml:space="preserve">14.25</w:t>
      </w:r>
      <w:r>
        <w:t xml:space="preserve"> </w:t>
      </w:r>
      <w:r>
        <w:t xml:space="preserve">already calls for substantial growth. Management’s posture has historically been prudent, and it retained a wide free-cash-flow range after 1Q despite saying it had greater confidence in landing near the upper end.</w:t>
      </w:r>
    </w:p>
    <w:p>
      <w:pPr>
        <w:pStyle w:val="BodyText"/>
      </w:pPr>
      <w:r>
        <w:t xml:space="preserve">A guidance increase would be a clear positive, especially if it reflects:</w:t>
      </w:r>
    </w:p>
    <w:p>
      <w:pPr>
        <w:pStyle w:val="Compact"/>
        <w:numPr>
          <w:ilvl w:val="0"/>
          <w:numId w:val="1005"/>
        </w:numPr>
      </w:pPr>
      <w:r>
        <w:t xml:space="preserve">Better underlying operations rather than tax or discrete items;</w:t>
      </w:r>
    </w:p>
    <w:p>
      <w:pPr>
        <w:pStyle w:val="Compact"/>
        <w:numPr>
          <w:ilvl w:val="0"/>
          <w:numId w:val="1005"/>
        </w:numPr>
      </w:pPr>
      <w:r>
        <w:t xml:space="preserve">Incremental confidence in second-half project execution;</w:t>
      </w:r>
    </w:p>
    <w:p>
      <w:pPr>
        <w:pStyle w:val="Compact"/>
        <w:numPr>
          <w:ilvl w:val="0"/>
          <w:numId w:val="1005"/>
        </w:numPr>
      </w:pPr>
      <w:r>
        <w:t xml:space="preserve">Margin upside in Underground &amp; Infrastructure; and</w:t>
      </w:r>
    </w:p>
    <w:p>
      <w:pPr>
        <w:pStyle w:val="Compact"/>
        <w:numPr>
          <w:ilvl w:val="0"/>
          <w:numId w:val="1005"/>
        </w:numPr>
      </w:pPr>
      <w:r>
        <w:t xml:space="preserve">Stronger cash-flow conversion despite investment in vertical supply-chain capacity.</w:t>
      </w:r>
    </w:p>
    <w:p>
      <w:pPr>
        <w:pStyle w:val="FirstParagraph"/>
      </w:pPr>
      <w:r>
        <w:t xml:space="preserve">However,</w:t>
      </w:r>
      <w:r>
        <w:t xml:space="preserve"> </w:t>
      </w:r>
      <w:r>
        <w:rPr>
          <w:b/>
          <w:bCs/>
        </w:rPr>
        <w:t xml:space="preserve">a reiteration should not automatically be read negatively</w:t>
      </w:r>
      <w:r>
        <w:t xml:space="preserve">. Management may choose to preserve contingency for weather, project timing, permitting, labor, fixed-price-contract risk, and an uncertain macro/geopolitical backdrop. The key is whether commentary indicates that underlying demand, execution, and backlog visibility continue improving.</w:t>
      </w:r>
    </w:p>
    <w:bookmarkEnd w:id="14"/>
    <w:bookmarkEnd w:id="15"/>
    <w:bookmarkStart w:id="16" w:name="Xb8097a7893e09e44eb5232b474b4b77be72a7cd"/>
    <w:p>
      <w:pPr>
        <w:pStyle w:val="Heading2"/>
      </w:pPr>
      <w:r>
        <w:t xml:space="preserve">Why the long-term thesis remains compelling</w:t>
      </w:r>
    </w:p>
    <w:p>
      <w:pPr>
        <w:pStyle w:val="FirstParagraph"/>
      </w:pPr>
      <w:r>
        <w:t xml:space="preserve">Quanta is positioned at the intersection of several capital-spending cycles:</w:t>
      </w:r>
    </w:p>
    <w:p>
      <w:pPr>
        <w:pStyle w:val="Compact"/>
        <w:numPr>
          <w:ilvl w:val="0"/>
          <w:numId w:val="1006"/>
        </w:numPr>
      </w:pPr>
      <w:r>
        <w:t xml:space="preserve">Grid expansion, replacement, resilience, and hardening;</w:t>
      </w:r>
    </w:p>
    <w:p>
      <w:pPr>
        <w:pStyle w:val="Compact"/>
        <w:numPr>
          <w:ilvl w:val="0"/>
          <w:numId w:val="1006"/>
        </w:numPr>
      </w:pPr>
      <w:r>
        <w:t xml:space="preserve">Electrification and incremental generation needs;</w:t>
      </w:r>
    </w:p>
    <w:p>
      <w:pPr>
        <w:pStyle w:val="Compact"/>
        <w:numPr>
          <w:ilvl w:val="0"/>
          <w:numId w:val="1006"/>
        </w:numPr>
      </w:pPr>
      <w:r>
        <w:t xml:space="preserve">AI/data-center power demand and interconnection;</w:t>
      </w:r>
    </w:p>
    <w:p>
      <w:pPr>
        <w:pStyle w:val="Compact"/>
        <w:numPr>
          <w:ilvl w:val="0"/>
          <w:numId w:val="1006"/>
        </w:numPr>
      </w:pPr>
      <w:r>
        <w:t xml:space="preserve">Onshoring of manufacturing and semiconductor capacity;</w:t>
      </w:r>
    </w:p>
    <w:p>
      <w:pPr>
        <w:pStyle w:val="Compact"/>
        <w:numPr>
          <w:ilvl w:val="0"/>
          <w:numId w:val="1006"/>
        </w:numPr>
      </w:pPr>
      <w:r>
        <w:t xml:space="preserve">Renewable generation and storage; and</w:t>
      </w:r>
    </w:p>
    <w:p>
      <w:pPr>
        <w:pStyle w:val="Compact"/>
        <w:numPr>
          <w:ilvl w:val="0"/>
          <w:numId w:val="1006"/>
        </w:numPr>
      </w:pPr>
      <w:r>
        <w:t xml:space="preserve">Utility supply-chain localization and lead-time reduction.</w:t>
      </w:r>
    </w:p>
    <w:p>
      <w:pPr>
        <w:pStyle w:val="FirstParagraph"/>
      </w:pPr>
      <w:r>
        <w:t xml:space="preserve">Management frames the combined utility, generation, and large-load opportunity as a</w:t>
      </w:r>
      <w:r>
        <w:t xml:space="preserve"> </w:t>
      </w:r>
      <w:r>
        <w:rPr>
          <w:b/>
          <w:bCs/>
        </w:rPr>
        <w:t xml:space="preserve">$2.4T addressable market through 2030</w:t>
      </w:r>
      <w:r>
        <w:t xml:space="preserve"> </w:t>
      </w:r>
      <w:r>
        <w:t xml:space="preserve">and has articulated a plan to more than double adjusted EPS by 2030. The company’s differentiated asset is not merely end-market exposure; it is its ability to provide labor, engineering, procurement, fabrication, construction, and supply-chain certainty at scale.</w:t>
      </w:r>
    </w:p>
    <w:p>
      <w:pPr>
        <w:pStyle w:val="BodyText"/>
      </w:pPr>
      <w:r>
        <w:t xml:space="preserve">That distinction is particularly relevant in the current environment: many prospective data-center and generation projects are constrained less by demand than by power availability, interconnection queues, permitting, transformer lead times, and skilled labor.</w:t>
      </w:r>
    </w:p>
    <w:bookmarkEnd w:id="16"/>
    <w:bookmarkStart w:id="17" w:name="principal-risks-into-the-quarter"/>
    <w:p>
      <w:pPr>
        <w:pStyle w:val="Heading2"/>
      </w:pPr>
      <w:r>
        <w:t xml:space="preserve">Principal risks into the quarter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Expectations and valuation sensitivity.</w:t>
      </w:r>
      <w:r>
        <w:t xml:space="preserve"> </w:t>
      </w:r>
      <w:r>
        <w:t xml:space="preserve">Consensus already assumes roughly 26% revenue growth and 32% adjusted-EPS growth.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Project timing.</w:t>
      </w:r>
      <w:r>
        <w:t xml:space="preserve"> </w:t>
      </w:r>
      <w:r>
        <w:t xml:space="preserve">Permitting, interconnection, air permits, right-of-way, utility approvals, and customer decisions can push revenue and backlog conversion between quarters.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Execution risk on larger, more complex projects.</w:t>
      </w:r>
      <w:r>
        <w:t xml:space="preserve"> </w:t>
      </w:r>
      <w:r>
        <w:t xml:space="preserve">Quanta is selectively pursuing more generation and large-load work; contract structure and risk allocation will be crucial.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Margin normalization.</w:t>
      </w:r>
      <w:r>
        <w:t xml:space="preserve"> </w:t>
      </w:r>
      <w:r>
        <w:t xml:space="preserve">Investors will want confirmation that recent Underground &amp; Infrastructure margin gains are repeatable.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Cash conversion and capital intensity.</w:t>
      </w:r>
      <w:r>
        <w:t xml:space="preserve"> </w:t>
      </w:r>
      <w:r>
        <w:t xml:space="preserve">The company is investing in transformers, fabrication, equipment, and capacity. Strong earnings without corresponding cash generation would weaken the quality of the result.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Political and regulatory risk.</w:t>
      </w:r>
      <w:r>
        <w:t xml:space="preserve"> </w:t>
      </w:r>
      <w:r>
        <w:t xml:space="preserve">Utility rates, data-center power usage, transmission permitting, generation policy, tariffs, and tax incentives can affect project timing and economics.</w: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PWR’s 2Q26 report is likely to be judged less on whether it beats EPS by a few cents and more on whether it reinforces the “compounding infrastructure platform” narrative.</w:t>
      </w:r>
      <w:r>
        <w:t xml:space="preserve"> </w:t>
      </w:r>
      <w:r>
        <w:t xml:space="preserve">A favorable report would combine: (1) revenue and adjusted EPS ahead of expectations, (2) backlog at or above $50B with broad-based awards, (3) continued Electric execution, (4) further Underground &amp; Infrastructure margin progress, (5) solid cash conversion, and ideally (6) an upward revision to 2026 guidance.</w:t>
      </w:r>
    </w:p>
    <w:p>
      <w:pPr>
        <w:pStyle w:val="BodyText"/>
      </w:pPr>
      <w:r>
        <w:t xml:space="preserve">The most constructive outcome is not simply another strong quarter—it is proof that Quanta can turn the accelerating AI/grid/generation opportunity into</w:t>
      </w:r>
      <w:r>
        <w:t xml:space="preserve"> </w:t>
      </w:r>
      <w:r>
        <w:rPr>
          <w:b/>
          <w:bCs/>
        </w:rPr>
        <w:t xml:space="preserve">programmatic, high-return, multi-year revenue</w:t>
      </w:r>
      <w:r>
        <w:t xml:space="preserve"> </w:t>
      </w:r>
      <w:r>
        <w:t xml:space="preserve">while maintaining discipline on project risk and capital deployment.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2026-07-29T18:37:04Z</dcterms:created>
  <dcterms:modified xsi:type="dcterms:W3CDTF">2026-07-29T18:37:04Z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