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Quanta Services (PWR) — Q2 2026 Earnings Preview</w:t>
      </w:r>
    </w:p>
    <w:p>
      <w:r>
        <w:rPr>
          <w:rFonts w:ascii="Calibri" w:hAnsi="Calibri"/>
          <w:b/>
          <w:color w:val="525866"/>
          <w:sz w:val="22"/>
        </w:rPr>
        <w:t xml:space="preserve">Reporting: </w:t>
      </w:r>
      <w:r>
        <w:rPr>
          <w:rFonts w:ascii="Calibri" w:hAnsi="Calibri"/>
          <w:color w:val="525866"/>
          <w:sz w:val="22"/>
        </w:rPr>
        <w:t xml:space="preserve">July 30, 2026 (Before Market Open)  |  </w:t>
      </w:r>
      <w:r>
        <w:rPr>
          <w:rFonts w:ascii="Calibri" w:hAnsi="Calibri"/>
          <w:b/>
          <w:color w:val="525866"/>
          <w:sz w:val="22"/>
        </w:rPr>
        <w:t xml:space="preserve">Prepared: </w:t>
      </w:r>
      <w:r>
        <w:rPr>
          <w:rFonts w:ascii="Calibri" w:hAnsi="Calibri"/>
          <w:color w:val="525866"/>
          <w:sz w:val="22"/>
        </w:rPr>
        <w:t xml:space="preserve">July 29, 2026  |  </w:t>
      </w:r>
      <w:r>
        <w:rPr>
          <w:rFonts w:ascii="Calibri" w:hAnsi="Calibri"/>
          <w:b/>
          <w:color w:val="525866"/>
          <w:sz w:val="22"/>
        </w:rPr>
        <w:t xml:space="preserve">Ticker: </w:t>
      </w:r>
      <w:r>
        <w:rPr>
          <w:rFonts w:ascii="Calibri" w:hAnsi="Calibri"/>
          <w:color w:val="525866"/>
          <w:sz w:val="22"/>
        </w:rPr>
        <w:t>PWR (NYSE)</w:t>
      </w:r>
    </w:p>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 xml:space="preserve">The setup into Q2 is constructive — consensus is a manageable bar given PWR's track record of organic beats, and the structural demand backdrop (grid, data centers, gas generation) has only strengthened since Q1; the key wildcard is whether </w:t>
      </w:r>
      <w:r>
        <w:rPr>
          <w:rFonts w:ascii="Calibri" w:hAnsi="Calibri"/>
          <w:b/>
          <w:color w:val="525866"/>
          <w:sz w:val="22"/>
        </w:rPr>
        <w:t>Underground &amp; Infrastructure margin momentum</w:t>
      </w:r>
      <w:r>
        <w:rPr>
          <w:rFonts w:ascii="Calibri" w:hAnsi="Calibri"/>
          <w:color w:val="525866"/>
          <w:sz w:val="22"/>
        </w:rPr>
        <w:t xml:space="preserve"> can sustain the Q1 inflection.</w:t>
      </w:r>
    </w:p>
    <w:p>
      <w:r>
        <w:rPr>
          <w:rFonts w:ascii="Calibri" w:hAnsi="Calibri"/>
          <w:color w:val="525866"/>
          <w:sz w:val="22"/>
        </w:rPr>
        <w:t>Quanta heads into Q2 2026 with consensus expecting revenues of ~</w:t>
      </w:r>
      <w:r>
        <w:rPr>
          <w:rFonts w:ascii="Calibri" w:hAnsi="Calibri"/>
          <w:b/>
          <w:color w:val="525866"/>
          <w:sz w:val="22"/>
        </w:rPr>
        <w:t>$8.53B</w:t>
      </w:r>
      <w:r>
        <w:rPr>
          <w:rFonts w:ascii="Calibri" w:hAnsi="Calibri"/>
          <w:color w:val="525866"/>
          <w:sz w:val="22"/>
        </w:rPr>
        <w:t xml:space="preserve"> and operating EPS of ~</w:t>
      </w:r>
      <w:r>
        <w:rPr>
          <w:rFonts w:ascii="Calibri" w:hAnsi="Calibri"/>
          <w:b/>
          <w:color w:val="525866"/>
          <w:sz w:val="22"/>
        </w:rPr>
        <w:t>$3.28</w:t>
      </w:r>
      <w:r>
        <w:rPr>
          <w:rFonts w:ascii="Calibri" w:hAnsi="Calibri"/>
          <w:color w:val="525866"/>
          <w:sz w:val="22"/>
        </w:rPr>
        <w:t xml:space="preserve">, both representing meaningful year-over-year growth against a Q2 2025 comp of $6.77B revenue and $2.48 EPS. The bar is not particularly stretched — management raised FY2026 guidance by $50M above the Q1 beat, signaling genuine back-half confidence rather than a one-time pull-forward, and the company has beaten EPS consensus in </w:t>
      </w:r>
      <w:r>
        <w:rPr>
          <w:rFonts w:ascii="Calibri" w:hAnsi="Calibri"/>
          <w:b/>
          <w:color w:val="525866"/>
          <w:sz w:val="22"/>
        </w:rPr>
        <w:t>7 of the last 8 quarters</w:t>
      </w:r>
      <w:r>
        <w:rPr>
          <w:rFonts w:ascii="Calibri" w:hAnsi="Calibri"/>
          <w:color w:val="525866"/>
          <w:sz w:val="22"/>
        </w:rPr>
        <w:t xml:space="preserve">. Estimate revisions since Q1 earnings have been modestly positive, with FY2026 EPS consensus moving from ~$14.03 to ~$14.04, suggesting the Street has largely absorbed the guidance raise without getting ahead of itself. The stock, however, has given back all of its post-earnings gains and then some — </w:t>
      </w:r>
      <w:r>
        <w:rPr>
          <w:rFonts w:ascii="Calibri" w:hAnsi="Calibri"/>
          <w:b/>
          <w:color w:val="525866"/>
          <w:sz w:val="22"/>
        </w:rPr>
        <w:t>down ~23% from the Q1 earnings close of $727.77 to ~$561 today</w:t>
      </w:r>
      <w:r>
        <w:rPr>
          <w:rFonts w:ascii="Calibri" w:hAnsi="Calibri"/>
          <w:color w:val="525866"/>
          <w:sz w:val="22"/>
        </w:rPr>
        <w:t xml:space="preserve"> — meaning the multiple has compressed significantly even as the fundamental story has improved, creating a potentially attractive setup if Q2 delivers another organic beat. The wildcard is </w:t>
      </w:r>
      <w:r>
        <w:rPr>
          <w:rFonts w:ascii="Calibri" w:hAnsi="Calibri"/>
          <w:b/>
          <w:color w:val="525866"/>
          <w:sz w:val="22"/>
        </w:rPr>
        <w:t>Underground &amp; Infrastructure margin</w:t>
      </w:r>
      <w:r>
        <w:rPr>
          <w:rFonts w:ascii="Calibri" w:hAnsi="Calibri"/>
          <w:color w:val="525866"/>
          <w:sz w:val="22"/>
        </w:rPr>
        <w:t>: Q1 saw a meaningful inflection driven by DSI mix and execution, and whether that sustains at or above the ~7.5% consensus for Q2 will be the key swing factor for EPS.</w:t>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on revenue (~$8.53B, +26% YoY) and EPS (~$3.28, +32% YoY); the bigger swing factor is </w:t>
      </w:r>
      <w:r>
        <w:rPr>
          <w:rFonts w:ascii="Calibri" w:hAnsi="Calibri"/>
          <w:b/>
          <w:color w:val="525866"/>
          <w:sz w:val="22"/>
        </w:rPr>
        <w:t>Underground &amp; Infrastructure margin</w:t>
      </w:r>
      <w:r>
        <w:rPr>
          <w:rFonts w:ascii="Calibri" w:hAnsi="Calibri"/>
          <w:color w:val="525866"/>
          <w:sz w:val="22"/>
        </w:rPr>
        <w:t>, where Q1 surprised materially to the upside.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KPI</w:t>
            </w:r>
          </w:p>
        </w:tc>
        <w:tc>
          <w:tcPr>
            <w:tcW w:type="dxa" w:w="1234"/>
          </w:tcPr>
          <w:p>
            <w:r>
              <w:rPr>
                <w:rFonts w:ascii="Calibri" w:hAnsi="Calibri"/>
                <w:b/>
                <w:sz w:val="22"/>
              </w:rPr>
              <w:t>Q1 2026 Actual</w:t>
            </w:r>
          </w:p>
        </w:tc>
        <w:tc>
          <w:tcPr>
            <w:tcW w:type="dxa" w:w="1234"/>
          </w:tcPr>
          <w:p>
            <w:r>
              <w:rPr>
                <w:rFonts w:ascii="Calibri" w:hAnsi="Calibri"/>
                <w:b/>
                <w:sz w:val="22"/>
              </w:rPr>
              <w:t>Q2 2025 Actual</w:t>
            </w:r>
          </w:p>
        </w:tc>
        <w:tc>
          <w:tcPr>
            <w:tcW w:type="dxa" w:w="1234"/>
          </w:tcPr>
          <w:p>
            <w:r>
              <w:rPr>
                <w:rFonts w:ascii="Calibri" w:hAnsi="Calibri"/>
                <w:b/>
                <w:sz w:val="22"/>
              </w:rPr>
              <w:t>Q2 2026 Consensus</w:t>
            </w:r>
          </w:p>
        </w:tc>
        <w:tc>
          <w:tcPr>
            <w:tcW w:type="dxa" w:w="1234"/>
          </w:tcPr>
          <w:p>
            <w:r>
              <w:rPr>
                <w:rFonts w:ascii="Calibri" w:hAnsi="Calibri"/>
                <w:b/>
                <w:sz w:val="22"/>
              </w:rPr>
              <w:t>YoY Change</w:t>
            </w:r>
          </w:p>
        </w:tc>
        <w:tc>
          <w:tcPr>
            <w:tcW w:type="dxa" w:w="1234"/>
          </w:tcPr>
          <w:p>
            <w:r>
              <w:rPr>
                <w:rFonts w:ascii="Calibri" w:hAnsi="Calibri"/>
                <w:b/>
                <w:sz w:val="22"/>
              </w:rPr>
              <w:t>FY2026 Guidance</w:t>
            </w:r>
          </w:p>
        </w:tc>
        <w:tc>
          <w:tcPr>
            <w:tcW w:type="dxa" w:w="1234"/>
          </w:tcPr>
          <w:p>
            <w:r>
              <w:rPr>
                <w:rFonts w:ascii="Calibri" w:hAnsi="Calibri"/>
                <w:b/>
                <w:sz w:val="22"/>
              </w:rPr>
              <w:t>Cons vs. Guidance</w:t>
            </w:r>
          </w:p>
        </w:tc>
      </w:tr>
      <w:tr>
        <w:tc>
          <w:tcPr>
            <w:tcW w:type="dxa" w:w="1234"/>
          </w:tcPr>
          <w:p>
            <w:r>
              <w:rPr>
                <w:rFonts w:ascii="Calibri" w:hAnsi="Calibri"/>
                <w:sz w:val="22"/>
              </w:rPr>
              <w:t>Revenue (Total)</w:t>
            </w:r>
          </w:p>
        </w:tc>
        <w:tc>
          <w:tcPr>
            <w:tcW w:type="dxa" w:w="1234"/>
          </w:tcPr>
          <w:p>
            <w:r>
              <w:rPr>
                <w:rFonts w:ascii="Calibri" w:hAnsi="Calibri"/>
                <w:sz w:val="22"/>
              </w:rPr>
              <w:t>$7.87B</w:t>
            </w:r>
          </w:p>
        </w:tc>
        <w:tc>
          <w:tcPr>
            <w:tcW w:type="dxa" w:w="1234"/>
          </w:tcPr>
          <w:p>
            <w:r>
              <w:rPr>
                <w:rFonts w:ascii="Calibri" w:hAnsi="Calibri"/>
                <w:sz w:val="22"/>
              </w:rPr>
              <w:t>$6.77B</w:t>
            </w:r>
          </w:p>
        </w:tc>
        <w:tc>
          <w:tcPr>
            <w:tcW w:type="dxa" w:w="1234"/>
          </w:tcPr>
          <w:p>
            <w:r>
              <w:rPr>
                <w:rFonts w:ascii="Calibri" w:hAnsi="Calibri"/>
                <w:sz w:val="22"/>
              </w:rPr>
              <w:t>$8.53B</w:t>
            </w:r>
          </w:p>
        </w:tc>
        <w:tc>
          <w:tcPr>
            <w:tcW w:type="dxa" w:w="1234"/>
          </w:tcPr>
          <w:p>
            <w:r>
              <w:rPr>
                <w:rFonts w:ascii="Calibri" w:hAnsi="Calibri"/>
                <w:sz w:val="22"/>
              </w:rPr>
              <w:t>+26.0%</w:t>
            </w:r>
          </w:p>
        </w:tc>
        <w:tc>
          <w:tcPr>
            <w:tcW w:type="dxa" w:w="1234"/>
          </w:tcPr>
          <w:p>
            <w:r>
              <w:rPr>
                <w:rFonts w:ascii="Calibri" w:hAnsi="Calibri"/>
                <w:sz w:val="22"/>
              </w:rPr>
              <w:t>$34.7B–$35.2B</w:t>
            </w:r>
          </w:p>
        </w:tc>
        <w:tc>
          <w:tcPr>
            <w:tcW w:type="dxa" w:w="1234"/>
          </w:tcPr>
          <w:p>
            <w:r>
              <w:rPr>
                <w:rFonts w:ascii="Calibri" w:hAnsi="Calibri"/>
                <w:sz w:val="22"/>
              </w:rPr>
              <w:t>~+2% above midpoint</w:t>
            </w:r>
          </w:p>
        </w:tc>
      </w:tr>
      <w:tr>
        <w:tc>
          <w:tcPr>
            <w:tcW w:type="dxa" w:w="1234"/>
          </w:tcPr>
          <w:p>
            <w:r>
              <w:rPr>
                <w:rFonts w:ascii="Calibri" w:hAnsi="Calibri"/>
                <w:sz w:val="22"/>
              </w:rPr>
              <w:t>Revenue – Electric Infra</w:t>
            </w:r>
          </w:p>
        </w:tc>
        <w:tc>
          <w:tcPr>
            <w:tcW w:type="dxa" w:w="1234"/>
          </w:tcPr>
          <w:p>
            <w:r>
              <w:rPr>
                <w:rFonts w:ascii="Calibri" w:hAnsi="Calibri"/>
                <w:sz w:val="22"/>
              </w:rPr>
              <w:t>$6.47B</w:t>
            </w:r>
          </w:p>
        </w:tc>
        <w:tc>
          <w:tcPr>
            <w:tcW w:type="dxa" w:w="1234"/>
          </w:tcPr>
          <w:p>
            <w:r>
              <w:rPr>
                <w:rFonts w:ascii="Calibri" w:hAnsi="Calibri"/>
                <w:sz w:val="22"/>
              </w:rPr>
              <w:t>$5.46B</w:t>
            </w:r>
          </w:p>
        </w:tc>
        <w:tc>
          <w:tcPr>
            <w:tcW w:type="dxa" w:w="1234"/>
          </w:tcPr>
          <w:p>
            <w:r>
              <w:rPr>
                <w:rFonts w:ascii="Calibri" w:hAnsi="Calibri"/>
                <w:sz w:val="22"/>
              </w:rPr>
              <w:t>$6.86B</w:t>
            </w:r>
          </w:p>
        </w:tc>
        <w:tc>
          <w:tcPr>
            <w:tcW w:type="dxa" w:w="1234"/>
          </w:tcPr>
          <w:p>
            <w:r>
              <w:rPr>
                <w:rFonts w:ascii="Calibri" w:hAnsi="Calibri"/>
                <w:sz w:val="22"/>
              </w:rPr>
              <w:t>+25.7%</w:t>
            </w:r>
          </w:p>
        </w:tc>
        <w:tc>
          <w:tcPr>
            <w:tcW w:type="dxa" w:w="1234"/>
          </w:tcPr>
          <w:p>
            <w:r>
              <w:rPr>
                <w:rFonts w:ascii="Calibri" w:hAnsi="Calibri"/>
                <w:sz w:val="22"/>
              </w:rPr>
              <w:t>$28.4B (FY cons)</w:t>
            </w:r>
          </w:p>
        </w:tc>
        <w:tc>
          <w:tcPr>
            <w:tcW w:type="dxa" w:w="1234"/>
          </w:tcPr>
          <w:p>
            <w:r>
              <w:rPr>
                <w:rFonts w:ascii="Calibri" w:hAnsi="Calibri"/>
                <w:sz w:val="22"/>
              </w:rPr>
              <w:t>N/A</w:t>
            </w:r>
          </w:p>
        </w:tc>
      </w:tr>
      <w:tr>
        <w:tc>
          <w:tcPr>
            <w:tcW w:type="dxa" w:w="1234"/>
          </w:tcPr>
          <w:p>
            <w:r>
              <w:rPr>
                <w:rFonts w:ascii="Calibri" w:hAnsi="Calibri"/>
                <w:sz w:val="22"/>
              </w:rPr>
              <w:t>Revenue – Underground &amp; Infra</w:t>
            </w:r>
          </w:p>
        </w:tc>
        <w:tc>
          <w:tcPr>
            <w:tcW w:type="dxa" w:w="1234"/>
          </w:tcPr>
          <w:p>
            <w:r>
              <w:rPr>
                <w:rFonts w:ascii="Calibri" w:hAnsi="Calibri"/>
                <w:sz w:val="22"/>
              </w:rPr>
              <w:t>$1.41B</w:t>
            </w:r>
          </w:p>
        </w:tc>
        <w:tc>
          <w:tcPr>
            <w:tcW w:type="dxa" w:w="1234"/>
          </w:tcPr>
          <w:p>
            <w:r>
              <w:rPr>
                <w:rFonts w:ascii="Calibri" w:hAnsi="Calibri"/>
                <w:sz w:val="22"/>
              </w:rPr>
              <w:t>$1.31B</w:t>
            </w:r>
          </w:p>
        </w:tc>
        <w:tc>
          <w:tcPr>
            <w:tcW w:type="dxa" w:w="1234"/>
          </w:tcPr>
          <w:p>
            <w:r>
              <w:rPr>
                <w:rFonts w:ascii="Calibri" w:hAnsi="Calibri"/>
                <w:sz w:val="22"/>
              </w:rPr>
              <w:t>$1.66B</w:t>
            </w:r>
          </w:p>
        </w:tc>
        <w:tc>
          <w:tcPr>
            <w:tcW w:type="dxa" w:w="1234"/>
          </w:tcPr>
          <w:p>
            <w:r>
              <w:rPr>
                <w:rFonts w:ascii="Calibri" w:hAnsi="Calibri"/>
                <w:sz w:val="22"/>
              </w:rPr>
              <w:t>+26.3%</w:t>
            </w:r>
          </w:p>
        </w:tc>
        <w:tc>
          <w:tcPr>
            <w:tcW w:type="dxa" w:w="1234"/>
          </w:tcPr>
          <w:p>
            <w:r>
              <w:rPr>
                <w:rFonts w:ascii="Calibri" w:hAnsi="Calibri"/>
                <w:sz w:val="22"/>
              </w:rPr>
              <w:t>$6.63B (FY cons)</w:t>
            </w:r>
          </w:p>
        </w:tc>
        <w:tc>
          <w:tcPr>
            <w:tcW w:type="dxa" w:w="1234"/>
          </w:tcPr>
          <w:p>
            <w:r>
              <w:rPr>
                <w:rFonts w:ascii="Calibri" w:hAnsi="Calibri"/>
                <w:sz w:val="22"/>
              </w:rPr>
              <w:t>N/A</w:t>
            </w:r>
          </w:p>
        </w:tc>
      </w:tr>
      <w:tr>
        <w:tc>
          <w:tcPr>
            <w:tcW w:type="dxa" w:w="1234"/>
          </w:tcPr>
          <w:p>
            <w:r>
              <w:rPr>
                <w:rFonts w:ascii="Calibri" w:hAnsi="Calibri"/>
                <w:sz w:val="22"/>
              </w:rPr>
              <w:t>Operating EPS (Diluted)</w:t>
            </w:r>
          </w:p>
        </w:tc>
        <w:tc>
          <w:tcPr>
            <w:tcW w:type="dxa" w:w="1234"/>
          </w:tcPr>
          <w:p>
            <w:r>
              <w:rPr>
                <w:rFonts w:ascii="Calibri" w:hAnsi="Calibri"/>
                <w:sz w:val="22"/>
              </w:rPr>
              <w:t>$2.68</w:t>
            </w:r>
          </w:p>
        </w:tc>
        <w:tc>
          <w:tcPr>
            <w:tcW w:type="dxa" w:w="1234"/>
          </w:tcPr>
          <w:p>
            <w:r>
              <w:rPr>
                <w:rFonts w:ascii="Calibri" w:hAnsi="Calibri"/>
                <w:sz w:val="22"/>
              </w:rPr>
              <w:t>$2.48</w:t>
            </w:r>
          </w:p>
        </w:tc>
        <w:tc>
          <w:tcPr>
            <w:tcW w:type="dxa" w:w="1234"/>
          </w:tcPr>
          <w:p>
            <w:r>
              <w:rPr>
                <w:rFonts w:ascii="Calibri" w:hAnsi="Calibri"/>
                <w:sz w:val="22"/>
              </w:rPr>
              <w:t>$3.28</w:t>
            </w:r>
          </w:p>
        </w:tc>
        <w:tc>
          <w:tcPr>
            <w:tcW w:type="dxa" w:w="1234"/>
          </w:tcPr>
          <w:p>
            <w:r>
              <w:rPr>
                <w:rFonts w:ascii="Calibri" w:hAnsi="Calibri"/>
                <w:sz w:val="22"/>
              </w:rPr>
              <w:t>+32.3%</w:t>
            </w:r>
          </w:p>
        </w:tc>
        <w:tc>
          <w:tcPr>
            <w:tcW w:type="dxa" w:w="1234"/>
          </w:tcPr>
          <w:p>
            <w:r>
              <w:rPr>
                <w:rFonts w:ascii="Calibri" w:hAnsi="Calibri"/>
                <w:sz w:val="22"/>
              </w:rPr>
              <w:t>$13.55–$14.25</w:t>
            </w:r>
          </w:p>
        </w:tc>
        <w:tc>
          <w:tcPr>
            <w:tcW w:type="dxa" w:w="1234"/>
          </w:tcPr>
          <w:p>
            <w:r>
              <w:rPr>
                <w:rFonts w:ascii="Calibri" w:hAnsi="Calibri"/>
                <w:sz w:val="22"/>
              </w:rPr>
              <w:t>~+1% above midpoint</w:t>
            </w:r>
          </w:p>
        </w:tc>
      </w:tr>
      <w:tr>
        <w:tc>
          <w:tcPr>
            <w:tcW w:type="dxa" w:w="1234"/>
          </w:tcPr>
          <w:p>
            <w:r>
              <w:rPr>
                <w:rFonts w:ascii="Calibri" w:hAnsi="Calibri"/>
                <w:sz w:val="22"/>
              </w:rPr>
              <w:t>Operating EBITDA</w:t>
            </w:r>
          </w:p>
        </w:tc>
        <w:tc>
          <w:tcPr>
            <w:tcW w:type="dxa" w:w="1234"/>
          </w:tcPr>
          <w:p>
            <w:r>
              <w:rPr>
                <w:rFonts w:ascii="Calibri" w:hAnsi="Calibri"/>
                <w:sz w:val="22"/>
              </w:rPr>
              <w:t>$686M</w:t>
            </w:r>
          </w:p>
        </w:tc>
        <w:tc>
          <w:tcPr>
            <w:tcW w:type="dxa" w:w="1234"/>
          </w:tcPr>
          <w:p>
            <w:r>
              <w:rPr>
                <w:rFonts w:ascii="Calibri" w:hAnsi="Calibri"/>
                <w:sz w:val="22"/>
              </w:rPr>
              <w:t>$669M</w:t>
            </w:r>
          </w:p>
        </w:tc>
        <w:tc>
          <w:tcPr>
            <w:tcW w:type="dxa" w:w="1234"/>
          </w:tcPr>
          <w:p>
            <w:r>
              <w:rPr>
                <w:rFonts w:ascii="Calibri" w:hAnsi="Calibri"/>
                <w:sz w:val="22"/>
              </w:rPr>
              <w:t>$866M</w:t>
            </w:r>
          </w:p>
        </w:tc>
        <w:tc>
          <w:tcPr>
            <w:tcW w:type="dxa" w:w="1234"/>
          </w:tcPr>
          <w:p>
            <w:r>
              <w:rPr>
                <w:rFonts w:ascii="Calibri" w:hAnsi="Calibri"/>
                <w:sz w:val="22"/>
              </w:rPr>
              <w:t>+29.5%</w:t>
            </w:r>
          </w:p>
        </w:tc>
        <w:tc>
          <w:tcPr>
            <w:tcW w:type="dxa" w:w="1234"/>
          </w:tcPr>
          <w:p>
            <w:r>
              <w:rPr>
                <w:rFonts w:ascii="Calibri" w:hAnsi="Calibri"/>
                <w:sz w:val="22"/>
              </w:rPr>
              <w:t>$3.49B–$3.65B</w:t>
            </w:r>
          </w:p>
        </w:tc>
        <w:tc>
          <w:tcPr>
            <w:tcW w:type="dxa" w:w="1234"/>
          </w:tcPr>
          <w:p>
            <w:r>
              <w:rPr>
                <w:rFonts w:ascii="Calibri" w:hAnsi="Calibri"/>
                <w:sz w:val="22"/>
              </w:rPr>
              <w:t>~+1% above midpoint</w:t>
            </w:r>
          </w:p>
        </w:tc>
      </w:tr>
      <w:tr>
        <w:tc>
          <w:tcPr>
            <w:tcW w:type="dxa" w:w="1234"/>
          </w:tcPr>
          <w:p>
            <w:r>
              <w:rPr>
                <w:rFonts w:ascii="Calibri" w:hAnsi="Calibri"/>
                <w:sz w:val="22"/>
              </w:rPr>
              <w:t>Operating EBITDA Margin</w:t>
            </w:r>
          </w:p>
        </w:tc>
        <w:tc>
          <w:tcPr>
            <w:tcW w:type="dxa" w:w="1234"/>
          </w:tcPr>
          <w:p>
            <w:r>
              <w:rPr>
                <w:rFonts w:ascii="Calibri" w:hAnsi="Calibri"/>
                <w:sz w:val="22"/>
              </w:rPr>
              <w:t>8.7%</w:t>
            </w:r>
          </w:p>
        </w:tc>
        <w:tc>
          <w:tcPr>
            <w:tcW w:type="dxa" w:w="1234"/>
          </w:tcPr>
          <w:p>
            <w:r>
              <w:rPr>
                <w:rFonts w:ascii="Calibri" w:hAnsi="Calibri"/>
                <w:sz w:val="22"/>
              </w:rPr>
              <w:t>9.9%</w:t>
            </w:r>
          </w:p>
        </w:tc>
        <w:tc>
          <w:tcPr>
            <w:tcW w:type="dxa" w:w="1234"/>
          </w:tcPr>
          <w:p>
            <w:r>
              <w:rPr>
                <w:rFonts w:ascii="Calibri" w:hAnsi="Calibri"/>
                <w:sz w:val="22"/>
              </w:rPr>
              <w:t>10.2%</w:t>
            </w:r>
          </w:p>
        </w:tc>
        <w:tc>
          <w:tcPr>
            <w:tcW w:type="dxa" w:w="1234"/>
          </w:tcPr>
          <w:p>
            <w:r>
              <w:rPr>
                <w:rFonts w:ascii="Calibri" w:hAnsi="Calibri"/>
                <w:sz w:val="22"/>
              </w:rPr>
              <w:t>+30bps</w:t>
            </w:r>
          </w:p>
        </w:tc>
        <w:tc>
          <w:tcPr>
            <w:tcW w:type="dxa" w:w="1234"/>
          </w:tcPr>
          <w:p>
            <w:r>
              <w:rPr>
                <w:rFonts w:ascii="Calibri" w:hAnsi="Calibri"/>
                <w:sz w:val="22"/>
              </w:rPr>
              <w:t>~10.3% (FY cons)</w:t>
            </w:r>
          </w:p>
        </w:tc>
        <w:tc>
          <w:tcPr>
            <w:tcW w:type="dxa" w:w="1234"/>
          </w:tcPr>
          <w:p>
            <w:r>
              <w:rPr>
                <w:rFonts w:ascii="Calibri" w:hAnsi="Calibri"/>
                <w:sz w:val="22"/>
              </w:rPr>
              <w:t>N/A</w:t>
            </w:r>
          </w:p>
        </w:tc>
      </w:tr>
      <w:tr>
        <w:tc>
          <w:tcPr>
            <w:tcW w:type="dxa" w:w="1234"/>
          </w:tcPr>
          <w:p>
            <w:r>
              <w:rPr>
                <w:rFonts w:ascii="Calibri" w:hAnsi="Calibri"/>
                <w:sz w:val="22"/>
              </w:rPr>
              <w:t>Electric Infra Op. Margin</w:t>
            </w:r>
          </w:p>
        </w:tc>
        <w:tc>
          <w:tcPr>
            <w:tcW w:type="dxa" w:w="1234"/>
          </w:tcPr>
          <w:p>
            <w:r>
              <w:rPr>
                <w:rFonts w:ascii="Calibri" w:hAnsi="Calibri"/>
                <w:sz w:val="22"/>
              </w:rPr>
              <w:t>8.7%</w:t>
            </w:r>
          </w:p>
        </w:tc>
        <w:tc>
          <w:tcPr>
            <w:tcW w:type="dxa" w:w="1234"/>
          </w:tcPr>
          <w:p>
            <w:r>
              <w:rPr>
                <w:rFonts w:ascii="Calibri" w:hAnsi="Calibri"/>
                <w:sz w:val="22"/>
              </w:rPr>
              <w:t>10.1%</w:t>
            </w:r>
          </w:p>
        </w:tc>
        <w:tc>
          <w:tcPr>
            <w:tcW w:type="dxa" w:w="1234"/>
          </w:tcPr>
          <w:p>
            <w:r>
              <w:rPr>
                <w:rFonts w:ascii="Calibri" w:hAnsi="Calibri"/>
                <w:sz w:val="22"/>
              </w:rPr>
              <w:t>10.3%</w:t>
            </w:r>
          </w:p>
        </w:tc>
        <w:tc>
          <w:tcPr>
            <w:tcW w:type="dxa" w:w="1234"/>
          </w:tcPr>
          <w:p>
            <w:r>
              <w:rPr>
                <w:rFonts w:ascii="Calibri" w:hAnsi="Calibri"/>
                <w:sz w:val="22"/>
              </w:rPr>
              <w:t>+20bps</w:t>
            </w:r>
          </w:p>
        </w:tc>
        <w:tc>
          <w:tcPr>
            <w:tcW w:type="dxa" w:w="1234"/>
          </w:tcPr>
          <w:p>
            <w:r>
              <w:rPr>
                <w:rFonts w:ascii="Calibri" w:hAnsi="Calibri"/>
                <w:sz w:val="22"/>
              </w:rPr>
              <w:t>~10.4% (FY cons)</w:t>
            </w:r>
          </w:p>
        </w:tc>
        <w:tc>
          <w:tcPr>
            <w:tcW w:type="dxa" w:w="1234"/>
          </w:tcPr>
          <w:p>
            <w:r>
              <w:rPr>
                <w:rFonts w:ascii="Calibri" w:hAnsi="Calibri"/>
                <w:sz w:val="22"/>
              </w:rPr>
              <w:t>N/A</w:t>
            </w:r>
          </w:p>
        </w:tc>
      </w:tr>
      <w:tr>
        <w:tc>
          <w:tcPr>
            <w:tcW w:type="dxa" w:w="1234"/>
          </w:tcPr>
          <w:p>
            <w:r>
              <w:rPr>
                <w:rFonts w:ascii="Calibri" w:hAnsi="Calibri"/>
                <w:sz w:val="22"/>
              </w:rPr>
              <w:t>Underground &amp; Infra Op. Margin</w:t>
            </w:r>
          </w:p>
        </w:tc>
        <w:tc>
          <w:tcPr>
            <w:tcW w:type="dxa" w:w="1234"/>
          </w:tcPr>
          <w:p>
            <w:r>
              <w:rPr>
                <w:rFonts w:ascii="Calibri" w:hAnsi="Calibri"/>
                <w:sz w:val="22"/>
              </w:rPr>
              <w:t>7.5%</w:t>
            </w:r>
          </w:p>
        </w:tc>
        <w:tc>
          <w:tcPr>
            <w:tcW w:type="dxa" w:w="1234"/>
          </w:tcPr>
          <w:p>
            <w:r>
              <w:rPr>
                <w:rFonts w:ascii="Calibri" w:hAnsi="Calibri"/>
                <w:sz w:val="22"/>
              </w:rPr>
              <w:t>6.9%</w:t>
            </w:r>
          </w:p>
        </w:tc>
        <w:tc>
          <w:tcPr>
            <w:tcW w:type="dxa" w:w="1234"/>
          </w:tcPr>
          <w:p>
            <w:r>
              <w:rPr>
                <w:rFonts w:ascii="Calibri" w:hAnsi="Calibri"/>
                <w:sz w:val="22"/>
              </w:rPr>
              <w:t>8.2%</w:t>
            </w:r>
          </w:p>
        </w:tc>
        <w:tc>
          <w:tcPr>
            <w:tcW w:type="dxa" w:w="1234"/>
          </w:tcPr>
          <w:p>
            <w:r>
              <w:rPr>
                <w:rFonts w:ascii="Calibri" w:hAnsi="Calibri"/>
                <w:sz w:val="22"/>
              </w:rPr>
              <w:t>+130bps</w:t>
            </w:r>
          </w:p>
        </w:tc>
        <w:tc>
          <w:tcPr>
            <w:tcW w:type="dxa" w:w="1234"/>
          </w:tcPr>
          <w:p>
            <w:r>
              <w:rPr>
                <w:rFonts w:ascii="Calibri" w:hAnsi="Calibri"/>
                <w:sz w:val="22"/>
              </w:rPr>
              <w:t>~8.4% (FY cons)</w:t>
            </w:r>
          </w:p>
        </w:tc>
        <w:tc>
          <w:tcPr>
            <w:tcW w:type="dxa" w:w="1234"/>
          </w:tcPr>
          <w:p>
            <w:r>
              <w:rPr>
                <w:rFonts w:ascii="Calibri" w:hAnsi="Calibri"/>
                <w:sz w:val="22"/>
              </w:rPr>
              <w:t>N/A</w:t>
            </w:r>
          </w:p>
        </w:tc>
      </w:tr>
      <w:tr>
        <w:tc>
          <w:tcPr>
            <w:tcW w:type="dxa" w:w="1234"/>
          </w:tcPr>
          <w:p>
            <w:r>
              <w:rPr>
                <w:rFonts w:ascii="Calibri" w:hAnsi="Calibri"/>
                <w:sz w:val="22"/>
              </w:rPr>
              <w:t>Total Backlog</w:t>
            </w:r>
          </w:p>
        </w:tc>
        <w:tc>
          <w:tcPr>
            <w:tcW w:type="dxa" w:w="1234"/>
          </w:tcPr>
          <w:p>
            <w:r>
              <w:rPr>
                <w:rFonts w:ascii="Calibri" w:hAnsi="Calibri"/>
                <w:sz w:val="22"/>
              </w:rPr>
              <w:t>$48.47B</w:t>
            </w:r>
          </w:p>
        </w:tc>
        <w:tc>
          <w:tcPr>
            <w:tcW w:type="dxa" w:w="1234"/>
          </w:tcPr>
          <w:p>
            <w:r>
              <w:rPr>
                <w:rFonts w:ascii="Calibri" w:hAnsi="Calibri"/>
                <w:sz w:val="22"/>
              </w:rPr>
              <w:t>$35.84B</w:t>
            </w:r>
          </w:p>
        </w:tc>
        <w:tc>
          <w:tcPr>
            <w:tcW w:type="dxa" w:w="1234"/>
          </w:tcPr>
          <w:p>
            <w:r>
              <w:rPr>
                <w:rFonts w:ascii="Calibri" w:hAnsi="Calibri"/>
                <w:sz w:val="22"/>
              </w:rPr>
              <w:t>$49.22B</w:t>
            </w:r>
          </w:p>
        </w:tc>
        <w:tc>
          <w:tcPr>
            <w:tcW w:type="dxa" w:w="1234"/>
          </w:tcPr>
          <w:p>
            <w:r>
              <w:rPr>
                <w:rFonts w:ascii="Calibri" w:hAnsi="Calibri"/>
                <w:sz w:val="22"/>
              </w:rPr>
              <w:t>+37.4%</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Free Cash Flow</w:t>
            </w:r>
          </w:p>
        </w:tc>
        <w:tc>
          <w:tcPr>
            <w:tcW w:type="dxa" w:w="1234"/>
          </w:tcPr>
          <w:p>
            <w:r>
              <w:rPr>
                <w:rFonts w:ascii="Calibri" w:hAnsi="Calibri"/>
                <w:sz w:val="22"/>
              </w:rPr>
              <w:t>$184M</w:t>
            </w:r>
          </w:p>
        </w:tc>
        <w:tc>
          <w:tcPr>
            <w:tcW w:type="dxa" w:w="1234"/>
          </w:tcPr>
          <w:p>
            <w:r>
              <w:rPr>
                <w:rFonts w:ascii="Calibri" w:hAnsi="Calibri"/>
                <w:sz w:val="22"/>
              </w:rPr>
              <w:t>$170M</w:t>
            </w:r>
          </w:p>
        </w:tc>
        <w:tc>
          <w:tcPr>
            <w:tcW w:type="dxa" w:w="1234"/>
          </w:tcPr>
          <w:p>
            <w:r>
              <w:rPr>
                <w:rFonts w:ascii="Calibri" w:hAnsi="Calibri"/>
                <w:sz w:val="22"/>
              </w:rPr>
              <w:t>$418M</w:t>
            </w:r>
          </w:p>
        </w:tc>
        <w:tc>
          <w:tcPr>
            <w:tcW w:type="dxa" w:w="1234"/>
          </w:tcPr>
          <w:p>
            <w:r>
              <w:rPr>
                <w:rFonts w:ascii="Calibri" w:hAnsi="Calibri"/>
                <w:sz w:val="22"/>
              </w:rPr>
              <w:t>+146%</w:t>
            </w:r>
          </w:p>
        </w:tc>
        <w:tc>
          <w:tcPr>
            <w:tcW w:type="dxa" w:w="1234"/>
          </w:tcPr>
          <w:p>
            <w:r>
              <w:rPr>
                <w:rFonts w:ascii="Calibri" w:hAnsi="Calibri"/>
                <w:sz w:val="22"/>
              </w:rPr>
              <w:t>$1.94B (FY cons)</w:t>
            </w:r>
          </w:p>
        </w:tc>
        <w:tc>
          <w:tcPr>
            <w:tcW w:type="dxa" w:w="1234"/>
          </w:tcPr>
          <w:p>
            <w:r>
              <w:rPr>
                <w:rFonts w:ascii="Calibri" w:hAnsi="Calibri"/>
                <w:sz w:val="22"/>
              </w:rPr>
              <w:t>N/A</w:t>
            </w:r>
          </w:p>
        </w:tc>
      </w:tr>
    </w:tbl>
    <w:p>
      <w:r>
        <w:rPr>
          <w:rFonts w:ascii="Calibri" w:hAnsi="Calibri"/>
          <w:i/>
          <w:color w:val="525866"/>
          <w:sz w:val="22"/>
        </w:rPr>
        <w:t xml:space="preserve">Source: </w:t>
      </w:r>
      <w:r>
        <w:rPr>
          <w:rFonts w:ascii="Calibri" w:hAnsi="Calibri"/>
          <w:i/>
          <w:color w:val="525866"/>
          <w:sz w:val="22"/>
        </w:rPr>
        <w:t>All consensus figures from Visible Alpha as of July 29, 2026. Q1 2026 and Q2 2025 actuals from Visible Alpha. FY2026 guidance from Q1 2026 earnings call (April 30, 2026).</w:t>
      </w:r>
    </w:p>
    <w:p>
      <w:pPr>
        <w:pStyle w:val="Heading3"/>
      </w:pPr>
      <w:r>
        <w:rPr>
          <w:rFonts w:ascii="Calibri" w:hAnsi="Calibri"/>
          <w:b/>
          <w:color w:val="3B4259"/>
          <w:sz w:val="24"/>
        </w:rPr>
        <w:t>Table 2 — Beat/Miss History (Last 8 Quarters, Top 2 KPIs: Revenue &amp; Operating EPS)</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tcPr>
          <w:p>
            <w:r>
              <w:rPr>
                <w:rFonts w:ascii="Calibri" w:hAnsi="Calibri"/>
                <w:b/>
                <w:sz w:val="22"/>
              </w:rPr>
              <w:t>Quarter</w:t>
            </w:r>
          </w:p>
        </w:tc>
        <w:tc>
          <w:tcPr>
            <w:tcW w:type="dxa" w:w="960"/>
          </w:tcPr>
          <w:p>
            <w:r>
              <w:rPr>
                <w:rFonts w:ascii="Calibri" w:hAnsi="Calibri"/>
                <w:b/>
                <w:sz w:val="22"/>
              </w:rPr>
              <w:t>Revenue Reported</w:t>
            </w:r>
          </w:p>
        </w:tc>
        <w:tc>
          <w:tcPr>
            <w:tcW w:type="dxa" w:w="960"/>
          </w:tcPr>
          <w:p>
            <w:r>
              <w:rPr>
                <w:rFonts w:ascii="Calibri" w:hAnsi="Calibri"/>
                <w:b/>
                <w:sz w:val="22"/>
              </w:rPr>
              <w:t>Revenue Consensus</w:t>
            </w:r>
          </w:p>
        </w:tc>
        <w:tc>
          <w:tcPr>
            <w:tcW w:type="dxa" w:w="960"/>
          </w:tcPr>
          <w:p>
            <w:r>
              <w:rPr>
                <w:rFonts w:ascii="Calibri" w:hAnsi="Calibri"/>
                <w:b/>
                <w:sz w:val="22"/>
              </w:rPr>
              <w:t>Rev. Surprise</w:t>
            </w:r>
          </w:p>
        </w:tc>
        <w:tc>
          <w:tcPr>
            <w:tcW w:type="dxa" w:w="960"/>
          </w:tcPr>
          <w:p>
            <w:r>
              <w:rPr>
                <w:rFonts w:ascii="Calibri" w:hAnsi="Calibri"/>
                <w:b/>
                <w:sz w:val="22"/>
              </w:rPr>
              <w:t>Rev. Result</w:t>
            </w:r>
          </w:p>
        </w:tc>
        <w:tc>
          <w:tcPr>
            <w:tcW w:type="dxa" w:w="960"/>
          </w:tcPr>
          <w:p>
            <w:r>
              <w:rPr>
                <w:rFonts w:ascii="Calibri" w:hAnsi="Calibri"/>
                <w:b/>
                <w:sz w:val="22"/>
              </w:rPr>
              <w:t>Op. EPS Reported</w:t>
            </w:r>
          </w:p>
        </w:tc>
        <w:tc>
          <w:tcPr>
            <w:tcW w:type="dxa" w:w="960"/>
          </w:tcPr>
          <w:p>
            <w:r>
              <w:rPr>
                <w:rFonts w:ascii="Calibri" w:hAnsi="Calibri"/>
                <w:b/>
                <w:sz w:val="22"/>
              </w:rPr>
              <w:t>Op. EPS Consensus</w:t>
            </w:r>
          </w:p>
        </w:tc>
        <w:tc>
          <w:tcPr>
            <w:tcW w:type="dxa" w:w="960"/>
          </w:tcPr>
          <w:p>
            <w:r>
              <w:rPr>
                <w:rFonts w:ascii="Calibri" w:hAnsi="Calibri"/>
                <w:b/>
                <w:sz w:val="22"/>
              </w:rPr>
              <w:t>EPS Surprise</w:t>
            </w:r>
          </w:p>
        </w:tc>
        <w:tc>
          <w:tcPr>
            <w:tcW w:type="dxa" w:w="960"/>
          </w:tcPr>
          <w:p>
            <w:r>
              <w:rPr>
                <w:rFonts w:ascii="Calibri" w:hAnsi="Calibri"/>
                <w:b/>
                <w:sz w:val="22"/>
              </w:rPr>
              <w:t>EPS Result</w:t>
            </w:r>
          </w:p>
        </w:tc>
      </w:tr>
      <w:tr>
        <w:tc>
          <w:tcPr>
            <w:tcW w:type="dxa" w:w="960"/>
          </w:tcPr>
          <w:p>
            <w:r>
              <w:rPr>
                <w:rFonts w:ascii="Calibri" w:hAnsi="Calibri"/>
                <w:sz w:val="22"/>
              </w:rPr>
              <w:t>Q2 2024</w:t>
            </w:r>
          </w:p>
        </w:tc>
        <w:tc>
          <w:tcPr>
            <w:tcW w:type="dxa" w:w="960"/>
          </w:tcPr>
          <w:p>
            <w:r>
              <w:rPr>
                <w:rFonts w:ascii="Calibri" w:hAnsi="Calibri"/>
                <w:sz w:val="22"/>
              </w:rPr>
              <w:t>$5.59B</w:t>
            </w:r>
          </w:p>
        </w:tc>
        <w:tc>
          <w:tcPr>
            <w:tcW w:type="dxa" w:w="960"/>
          </w:tcPr>
          <w:p>
            <w:r>
              <w:rPr>
                <w:rFonts w:ascii="Calibri" w:hAnsi="Calibri"/>
                <w:sz w:val="22"/>
              </w:rPr>
              <w:t>$5.52B</w:t>
            </w:r>
          </w:p>
        </w:tc>
        <w:tc>
          <w:tcPr>
            <w:tcW w:type="dxa" w:w="960"/>
          </w:tcPr>
          <w:p>
            <w:r>
              <w:rPr>
                <w:rFonts w:ascii="Calibri" w:hAnsi="Calibri"/>
                <w:sz w:val="22"/>
              </w:rPr>
              <w:t>+1.4%</w:t>
            </w:r>
          </w:p>
        </w:tc>
        <w:tc>
          <w:tcPr>
            <w:tcW w:type="dxa" w:w="960"/>
          </w:tcPr>
          <w:p>
            <w:r>
              <w:rPr>
                <w:rFonts w:ascii="Calibri" w:hAnsi="Calibri"/>
                <w:b/>
                <w:color w:val="30A46C"/>
                <w:sz w:val="22"/>
              </w:rPr>
              <w:t>Beat</w:t>
            </w:r>
          </w:p>
        </w:tc>
        <w:tc>
          <w:tcPr>
            <w:tcW w:type="dxa" w:w="960"/>
          </w:tcPr>
          <w:p>
            <w:r>
              <w:rPr>
                <w:rFonts w:ascii="Calibri" w:hAnsi="Calibri"/>
                <w:sz w:val="22"/>
              </w:rPr>
              <w:t>$1.90</w:t>
            </w:r>
          </w:p>
        </w:tc>
        <w:tc>
          <w:tcPr>
            <w:tcW w:type="dxa" w:w="960"/>
          </w:tcPr>
          <w:p>
            <w:r>
              <w:rPr>
                <w:rFonts w:ascii="Calibri" w:hAnsi="Calibri"/>
                <w:sz w:val="22"/>
              </w:rPr>
              <w:t>$1.93</w:t>
            </w:r>
          </w:p>
        </w:tc>
        <w:tc>
          <w:tcPr>
            <w:tcW w:type="dxa" w:w="960"/>
          </w:tcPr>
          <w:p>
            <w:r>
              <w:rPr>
                <w:rFonts w:ascii="Calibri" w:hAnsi="Calibri"/>
                <w:sz w:val="22"/>
              </w:rPr>
              <w:t>-1.6%</w:t>
            </w:r>
          </w:p>
        </w:tc>
        <w:tc>
          <w:tcPr>
            <w:tcW w:type="dxa" w:w="960"/>
          </w:tcPr>
          <w:p>
            <w:r>
              <w:rPr>
                <w:rFonts w:ascii="Calibri" w:hAnsi="Calibri"/>
                <w:b/>
                <w:color w:val="E5484D"/>
                <w:sz w:val="22"/>
              </w:rPr>
              <w:t>Miss</w:t>
            </w:r>
          </w:p>
        </w:tc>
      </w:tr>
      <w:tr>
        <w:tc>
          <w:tcPr>
            <w:tcW w:type="dxa" w:w="960"/>
          </w:tcPr>
          <w:p>
            <w:r>
              <w:rPr>
                <w:rFonts w:ascii="Calibri" w:hAnsi="Calibri"/>
                <w:sz w:val="22"/>
              </w:rPr>
              <w:t>Q3 2024</w:t>
            </w:r>
          </w:p>
        </w:tc>
        <w:tc>
          <w:tcPr>
            <w:tcW w:type="dxa" w:w="960"/>
          </w:tcPr>
          <w:p>
            <w:r>
              <w:rPr>
                <w:rFonts w:ascii="Calibri" w:hAnsi="Calibri"/>
                <w:sz w:val="22"/>
              </w:rPr>
              <w:t>$6.49B</w:t>
            </w:r>
          </w:p>
        </w:tc>
        <w:tc>
          <w:tcPr>
            <w:tcW w:type="dxa" w:w="960"/>
          </w:tcPr>
          <w:p>
            <w:r>
              <w:rPr>
                <w:rFonts w:ascii="Calibri" w:hAnsi="Calibri"/>
                <w:sz w:val="22"/>
              </w:rPr>
              <w:t>$6.57B</w:t>
            </w:r>
          </w:p>
        </w:tc>
        <w:tc>
          <w:tcPr>
            <w:tcW w:type="dxa" w:w="960"/>
          </w:tcPr>
          <w:p>
            <w:r>
              <w:rPr>
                <w:rFonts w:ascii="Calibri" w:hAnsi="Calibri"/>
                <w:sz w:val="22"/>
              </w:rPr>
              <w:t>-1.1%</w:t>
            </w:r>
          </w:p>
        </w:tc>
        <w:tc>
          <w:tcPr>
            <w:tcW w:type="dxa" w:w="960"/>
          </w:tcPr>
          <w:p>
            <w:r>
              <w:rPr>
                <w:rFonts w:ascii="Calibri" w:hAnsi="Calibri"/>
                <w:b/>
                <w:color w:val="E5484D"/>
                <w:sz w:val="22"/>
              </w:rPr>
              <w:t>Miss</w:t>
            </w:r>
          </w:p>
        </w:tc>
        <w:tc>
          <w:tcPr>
            <w:tcW w:type="dxa" w:w="960"/>
          </w:tcPr>
          <w:p>
            <w:r>
              <w:rPr>
                <w:rFonts w:ascii="Calibri" w:hAnsi="Calibri"/>
                <w:sz w:val="22"/>
              </w:rPr>
              <w:t>$2.72</w:t>
            </w:r>
          </w:p>
        </w:tc>
        <w:tc>
          <w:tcPr>
            <w:tcW w:type="dxa" w:w="960"/>
          </w:tcPr>
          <w:p>
            <w:r>
              <w:rPr>
                <w:rFonts w:ascii="Calibri" w:hAnsi="Calibri"/>
                <w:sz w:val="22"/>
              </w:rPr>
              <w:t>$2.66</w:t>
            </w:r>
          </w:p>
        </w:tc>
        <w:tc>
          <w:tcPr>
            <w:tcW w:type="dxa" w:w="960"/>
          </w:tcPr>
          <w:p>
            <w:r>
              <w:rPr>
                <w:rFonts w:ascii="Calibri" w:hAnsi="Calibri"/>
                <w:sz w:val="22"/>
              </w:rPr>
              <w:t>+2.2%</w:t>
            </w:r>
          </w:p>
        </w:tc>
        <w:tc>
          <w:tcPr>
            <w:tcW w:type="dxa" w:w="960"/>
          </w:tcPr>
          <w:p>
            <w:r>
              <w:rPr>
                <w:rFonts w:ascii="Calibri" w:hAnsi="Calibri"/>
                <w:b/>
                <w:color w:val="30A46C"/>
                <w:sz w:val="22"/>
              </w:rPr>
              <w:t>Beat</w:t>
            </w:r>
          </w:p>
        </w:tc>
      </w:tr>
      <w:tr>
        <w:tc>
          <w:tcPr>
            <w:tcW w:type="dxa" w:w="960"/>
          </w:tcPr>
          <w:p>
            <w:r>
              <w:rPr>
                <w:rFonts w:ascii="Calibri" w:hAnsi="Calibri"/>
                <w:sz w:val="22"/>
              </w:rPr>
              <w:t>Q4 2024</w:t>
            </w:r>
          </w:p>
        </w:tc>
        <w:tc>
          <w:tcPr>
            <w:tcW w:type="dxa" w:w="960"/>
          </w:tcPr>
          <w:p>
            <w:r>
              <w:rPr>
                <w:rFonts w:ascii="Calibri" w:hAnsi="Calibri"/>
                <w:sz w:val="22"/>
              </w:rPr>
              <w:t>$6.55B</w:t>
            </w:r>
          </w:p>
        </w:tc>
        <w:tc>
          <w:tcPr>
            <w:tcW w:type="dxa" w:w="960"/>
          </w:tcPr>
          <w:p>
            <w:r>
              <w:rPr>
                <w:rFonts w:ascii="Calibri" w:hAnsi="Calibri"/>
                <w:sz w:val="22"/>
              </w:rPr>
              <w:t>$6.62B</w:t>
            </w:r>
          </w:p>
        </w:tc>
        <w:tc>
          <w:tcPr>
            <w:tcW w:type="dxa" w:w="960"/>
          </w:tcPr>
          <w:p>
            <w:r>
              <w:rPr>
                <w:rFonts w:ascii="Calibri" w:hAnsi="Calibri"/>
                <w:sz w:val="22"/>
              </w:rPr>
              <w:t>-1.0%</w:t>
            </w:r>
          </w:p>
        </w:tc>
        <w:tc>
          <w:tcPr>
            <w:tcW w:type="dxa" w:w="960"/>
          </w:tcPr>
          <w:p>
            <w:r>
              <w:rPr>
                <w:rFonts w:ascii="Calibri" w:hAnsi="Calibri"/>
                <w:b/>
                <w:color w:val="E5484D"/>
                <w:sz w:val="22"/>
              </w:rPr>
              <w:t>Miss</w:t>
            </w:r>
          </w:p>
        </w:tc>
        <w:tc>
          <w:tcPr>
            <w:tcW w:type="dxa" w:w="960"/>
          </w:tcPr>
          <w:p>
            <w:r>
              <w:rPr>
                <w:rFonts w:ascii="Calibri" w:hAnsi="Calibri"/>
                <w:sz w:val="22"/>
              </w:rPr>
              <w:t>$2.94</w:t>
            </w:r>
          </w:p>
        </w:tc>
        <w:tc>
          <w:tcPr>
            <w:tcW w:type="dxa" w:w="960"/>
          </w:tcPr>
          <w:p>
            <w:r>
              <w:rPr>
                <w:rFonts w:ascii="Calibri" w:hAnsi="Calibri"/>
                <w:sz w:val="22"/>
              </w:rPr>
              <w:t>$2.63</w:t>
            </w:r>
          </w:p>
        </w:tc>
        <w:tc>
          <w:tcPr>
            <w:tcW w:type="dxa" w:w="960"/>
          </w:tcPr>
          <w:p>
            <w:r>
              <w:rPr>
                <w:rFonts w:ascii="Calibri" w:hAnsi="Calibri"/>
                <w:sz w:val="22"/>
              </w:rPr>
              <w:t>+11.8%</w:t>
            </w:r>
          </w:p>
        </w:tc>
        <w:tc>
          <w:tcPr>
            <w:tcW w:type="dxa" w:w="960"/>
          </w:tcPr>
          <w:p>
            <w:r>
              <w:rPr>
                <w:rFonts w:ascii="Calibri" w:hAnsi="Calibri"/>
                <w:b/>
                <w:color w:val="30A46C"/>
                <w:sz w:val="22"/>
              </w:rPr>
              <w:t>Beat</w:t>
            </w:r>
          </w:p>
        </w:tc>
      </w:tr>
      <w:tr>
        <w:tc>
          <w:tcPr>
            <w:tcW w:type="dxa" w:w="960"/>
          </w:tcPr>
          <w:p>
            <w:r>
              <w:rPr>
                <w:rFonts w:ascii="Calibri" w:hAnsi="Calibri"/>
                <w:sz w:val="22"/>
              </w:rPr>
              <w:t>Q1 2025</w:t>
            </w:r>
          </w:p>
        </w:tc>
        <w:tc>
          <w:tcPr>
            <w:tcW w:type="dxa" w:w="960"/>
          </w:tcPr>
          <w:p>
            <w:r>
              <w:rPr>
                <w:rFonts w:ascii="Calibri" w:hAnsi="Calibri"/>
                <w:sz w:val="22"/>
              </w:rPr>
              <w:t>$6.23B</w:t>
            </w:r>
          </w:p>
        </w:tc>
        <w:tc>
          <w:tcPr>
            <w:tcW w:type="dxa" w:w="960"/>
          </w:tcPr>
          <w:p>
            <w:r>
              <w:rPr>
                <w:rFonts w:ascii="Calibri" w:hAnsi="Calibri"/>
                <w:sz w:val="22"/>
              </w:rPr>
              <w:t>$5.86B</w:t>
            </w:r>
          </w:p>
        </w:tc>
        <w:tc>
          <w:tcPr>
            <w:tcW w:type="dxa" w:w="960"/>
          </w:tcPr>
          <w:p>
            <w:r>
              <w:rPr>
                <w:rFonts w:ascii="Calibri" w:hAnsi="Calibri"/>
                <w:sz w:val="22"/>
              </w:rPr>
              <w:t>+6.4%</w:t>
            </w:r>
          </w:p>
        </w:tc>
        <w:tc>
          <w:tcPr>
            <w:tcW w:type="dxa" w:w="960"/>
          </w:tcPr>
          <w:p>
            <w:r>
              <w:rPr>
                <w:rFonts w:ascii="Calibri" w:hAnsi="Calibri"/>
                <w:b/>
                <w:color w:val="30A46C"/>
                <w:sz w:val="22"/>
              </w:rPr>
              <w:t>Beat</w:t>
            </w:r>
          </w:p>
        </w:tc>
        <w:tc>
          <w:tcPr>
            <w:tcW w:type="dxa" w:w="960"/>
          </w:tcPr>
          <w:p>
            <w:r>
              <w:rPr>
                <w:rFonts w:ascii="Calibri" w:hAnsi="Calibri"/>
                <w:sz w:val="22"/>
              </w:rPr>
              <w:t>$1.78</w:t>
            </w:r>
          </w:p>
        </w:tc>
        <w:tc>
          <w:tcPr>
            <w:tcW w:type="dxa" w:w="960"/>
          </w:tcPr>
          <w:p>
            <w:r>
              <w:rPr>
                <w:rFonts w:ascii="Calibri" w:hAnsi="Calibri"/>
                <w:sz w:val="22"/>
              </w:rPr>
              <w:t>$1.67</w:t>
            </w:r>
          </w:p>
        </w:tc>
        <w:tc>
          <w:tcPr>
            <w:tcW w:type="dxa" w:w="960"/>
          </w:tcPr>
          <w:p>
            <w:r>
              <w:rPr>
                <w:rFonts w:ascii="Calibri" w:hAnsi="Calibri"/>
                <w:sz w:val="22"/>
              </w:rPr>
              <w:t>+6.6%</w:t>
            </w:r>
          </w:p>
        </w:tc>
        <w:tc>
          <w:tcPr>
            <w:tcW w:type="dxa" w:w="960"/>
          </w:tcPr>
          <w:p>
            <w:r>
              <w:rPr>
                <w:rFonts w:ascii="Calibri" w:hAnsi="Calibri"/>
                <w:b/>
                <w:color w:val="30A46C"/>
                <w:sz w:val="22"/>
              </w:rPr>
              <w:t>Beat</w:t>
            </w:r>
          </w:p>
        </w:tc>
      </w:tr>
      <w:tr>
        <w:tc>
          <w:tcPr>
            <w:tcW w:type="dxa" w:w="960"/>
          </w:tcPr>
          <w:p>
            <w:r>
              <w:rPr>
                <w:rFonts w:ascii="Calibri" w:hAnsi="Calibri"/>
                <w:sz w:val="22"/>
              </w:rPr>
              <w:t>Q2 2025</w:t>
            </w:r>
          </w:p>
        </w:tc>
        <w:tc>
          <w:tcPr>
            <w:tcW w:type="dxa" w:w="960"/>
          </w:tcPr>
          <w:p>
            <w:r>
              <w:rPr>
                <w:rFonts w:ascii="Calibri" w:hAnsi="Calibri"/>
                <w:sz w:val="22"/>
              </w:rPr>
              <w:t>$6.77B</w:t>
            </w:r>
          </w:p>
        </w:tc>
        <w:tc>
          <w:tcPr>
            <w:tcW w:type="dxa" w:w="960"/>
          </w:tcPr>
          <w:p>
            <w:r>
              <w:rPr>
                <w:rFonts w:ascii="Calibri" w:hAnsi="Calibri"/>
                <w:sz w:val="22"/>
              </w:rPr>
              <w:t>$6.55B</w:t>
            </w:r>
          </w:p>
        </w:tc>
        <w:tc>
          <w:tcPr>
            <w:tcW w:type="dxa" w:w="960"/>
          </w:tcPr>
          <w:p>
            <w:r>
              <w:rPr>
                <w:rFonts w:ascii="Calibri" w:hAnsi="Calibri"/>
                <w:sz w:val="22"/>
              </w:rPr>
              <w:t>+3.4%</w:t>
            </w:r>
          </w:p>
        </w:tc>
        <w:tc>
          <w:tcPr>
            <w:tcW w:type="dxa" w:w="960"/>
          </w:tcPr>
          <w:p>
            <w:r>
              <w:rPr>
                <w:rFonts w:ascii="Calibri" w:hAnsi="Calibri"/>
                <w:b/>
                <w:color w:val="30A46C"/>
                <w:sz w:val="22"/>
              </w:rPr>
              <w:t>Beat</w:t>
            </w:r>
          </w:p>
        </w:tc>
        <w:tc>
          <w:tcPr>
            <w:tcW w:type="dxa" w:w="960"/>
          </w:tcPr>
          <w:p>
            <w:r>
              <w:rPr>
                <w:rFonts w:ascii="Calibri" w:hAnsi="Calibri"/>
                <w:sz w:val="22"/>
              </w:rPr>
              <w:t>$2.48</w:t>
            </w:r>
          </w:p>
        </w:tc>
        <w:tc>
          <w:tcPr>
            <w:tcW w:type="dxa" w:w="960"/>
          </w:tcPr>
          <w:p>
            <w:r>
              <w:rPr>
                <w:rFonts w:ascii="Calibri" w:hAnsi="Calibri"/>
                <w:sz w:val="22"/>
              </w:rPr>
              <w:t>$2.42</w:t>
            </w:r>
          </w:p>
        </w:tc>
        <w:tc>
          <w:tcPr>
            <w:tcW w:type="dxa" w:w="960"/>
          </w:tcPr>
          <w:p>
            <w:r>
              <w:rPr>
                <w:rFonts w:ascii="Calibri" w:hAnsi="Calibri"/>
                <w:sz w:val="22"/>
              </w:rPr>
              <w:t>+2.5%</w:t>
            </w:r>
          </w:p>
        </w:tc>
        <w:tc>
          <w:tcPr>
            <w:tcW w:type="dxa" w:w="960"/>
          </w:tcPr>
          <w:p>
            <w:r>
              <w:rPr>
                <w:rFonts w:ascii="Calibri" w:hAnsi="Calibri"/>
                <w:b/>
                <w:color w:val="30A46C"/>
                <w:sz w:val="22"/>
              </w:rPr>
              <w:t>Beat</w:t>
            </w:r>
          </w:p>
        </w:tc>
      </w:tr>
      <w:tr>
        <w:tc>
          <w:tcPr>
            <w:tcW w:type="dxa" w:w="960"/>
          </w:tcPr>
          <w:p>
            <w:r>
              <w:rPr>
                <w:rFonts w:ascii="Calibri" w:hAnsi="Calibri"/>
                <w:sz w:val="22"/>
              </w:rPr>
              <w:t>Q3 2025</w:t>
            </w:r>
          </w:p>
        </w:tc>
        <w:tc>
          <w:tcPr>
            <w:tcW w:type="dxa" w:w="960"/>
          </w:tcPr>
          <w:p>
            <w:r>
              <w:rPr>
                <w:rFonts w:ascii="Calibri" w:hAnsi="Calibri"/>
                <w:sz w:val="22"/>
              </w:rPr>
              <w:t>$7.63B</w:t>
            </w:r>
          </w:p>
        </w:tc>
        <w:tc>
          <w:tcPr>
            <w:tcW w:type="dxa" w:w="960"/>
          </w:tcPr>
          <w:p>
            <w:r>
              <w:rPr>
                <w:rFonts w:ascii="Calibri" w:hAnsi="Calibri"/>
                <w:sz w:val="22"/>
              </w:rPr>
              <w:t>$7.42B</w:t>
            </w:r>
          </w:p>
        </w:tc>
        <w:tc>
          <w:tcPr>
            <w:tcW w:type="dxa" w:w="960"/>
          </w:tcPr>
          <w:p>
            <w:r>
              <w:rPr>
                <w:rFonts w:ascii="Calibri" w:hAnsi="Calibri"/>
                <w:sz w:val="22"/>
              </w:rPr>
              <w:t>+2.8%</w:t>
            </w:r>
          </w:p>
        </w:tc>
        <w:tc>
          <w:tcPr>
            <w:tcW w:type="dxa" w:w="960"/>
          </w:tcPr>
          <w:p>
            <w:r>
              <w:rPr>
                <w:rFonts w:ascii="Calibri" w:hAnsi="Calibri"/>
                <w:b/>
                <w:color w:val="30A46C"/>
                <w:sz w:val="22"/>
              </w:rPr>
              <w:t>Beat</w:t>
            </w:r>
          </w:p>
        </w:tc>
        <w:tc>
          <w:tcPr>
            <w:tcW w:type="dxa" w:w="960"/>
          </w:tcPr>
          <w:p>
            <w:r>
              <w:rPr>
                <w:rFonts w:ascii="Calibri" w:hAnsi="Calibri"/>
                <w:sz w:val="22"/>
              </w:rPr>
              <w:t>$3.33</w:t>
            </w:r>
          </w:p>
        </w:tc>
        <w:tc>
          <w:tcPr>
            <w:tcW w:type="dxa" w:w="960"/>
          </w:tcPr>
          <w:p>
            <w:r>
              <w:rPr>
                <w:rFonts w:ascii="Calibri" w:hAnsi="Calibri"/>
                <w:sz w:val="22"/>
              </w:rPr>
              <w:t>$3.25</w:t>
            </w:r>
          </w:p>
        </w:tc>
        <w:tc>
          <w:tcPr>
            <w:tcW w:type="dxa" w:w="960"/>
          </w:tcPr>
          <w:p>
            <w:r>
              <w:rPr>
                <w:rFonts w:ascii="Calibri" w:hAnsi="Calibri"/>
                <w:sz w:val="22"/>
              </w:rPr>
              <w:t>+2.5%</w:t>
            </w:r>
          </w:p>
        </w:tc>
        <w:tc>
          <w:tcPr>
            <w:tcW w:type="dxa" w:w="960"/>
          </w:tcPr>
          <w:p>
            <w:r>
              <w:rPr>
                <w:rFonts w:ascii="Calibri" w:hAnsi="Calibri"/>
                <w:b/>
                <w:color w:val="30A46C"/>
                <w:sz w:val="22"/>
              </w:rPr>
              <w:t>Beat</w:t>
            </w:r>
          </w:p>
        </w:tc>
      </w:tr>
      <w:tr>
        <w:tc>
          <w:tcPr>
            <w:tcW w:type="dxa" w:w="960"/>
          </w:tcPr>
          <w:p>
            <w:r>
              <w:rPr>
                <w:rFonts w:ascii="Calibri" w:hAnsi="Calibri"/>
                <w:sz w:val="22"/>
              </w:rPr>
              <w:t>Q4 2025</w:t>
            </w:r>
          </w:p>
        </w:tc>
        <w:tc>
          <w:tcPr>
            <w:tcW w:type="dxa" w:w="960"/>
          </w:tcPr>
          <w:p>
            <w:r>
              <w:rPr>
                <w:rFonts w:ascii="Calibri" w:hAnsi="Calibri"/>
                <w:sz w:val="22"/>
              </w:rPr>
              <w:t>$7.84B</w:t>
            </w:r>
          </w:p>
        </w:tc>
        <w:tc>
          <w:tcPr>
            <w:tcW w:type="dxa" w:w="960"/>
          </w:tcPr>
          <w:p>
            <w:r>
              <w:rPr>
                <w:rFonts w:ascii="Calibri" w:hAnsi="Calibri"/>
                <w:sz w:val="22"/>
              </w:rPr>
              <w:t>$7.37B</w:t>
            </w:r>
          </w:p>
        </w:tc>
        <w:tc>
          <w:tcPr>
            <w:tcW w:type="dxa" w:w="960"/>
          </w:tcPr>
          <w:p>
            <w:r>
              <w:rPr>
                <w:rFonts w:ascii="Calibri" w:hAnsi="Calibri"/>
                <w:sz w:val="22"/>
              </w:rPr>
              <w:t>+6.4%</w:t>
            </w:r>
          </w:p>
        </w:tc>
        <w:tc>
          <w:tcPr>
            <w:tcW w:type="dxa" w:w="960"/>
          </w:tcPr>
          <w:p>
            <w:r>
              <w:rPr>
                <w:rFonts w:ascii="Calibri" w:hAnsi="Calibri"/>
                <w:b/>
                <w:color w:val="30A46C"/>
                <w:sz w:val="22"/>
              </w:rPr>
              <w:t>Beat</w:t>
            </w:r>
          </w:p>
        </w:tc>
        <w:tc>
          <w:tcPr>
            <w:tcW w:type="dxa" w:w="960"/>
          </w:tcPr>
          <w:p>
            <w:r>
              <w:rPr>
                <w:rFonts w:ascii="Calibri" w:hAnsi="Calibri"/>
                <w:sz w:val="22"/>
              </w:rPr>
              <w:t>$3.16</w:t>
            </w:r>
          </w:p>
        </w:tc>
        <w:tc>
          <w:tcPr>
            <w:tcW w:type="dxa" w:w="960"/>
          </w:tcPr>
          <w:p>
            <w:r>
              <w:rPr>
                <w:rFonts w:ascii="Calibri" w:hAnsi="Calibri"/>
                <w:sz w:val="22"/>
              </w:rPr>
              <w:t>$3.01</w:t>
            </w:r>
          </w:p>
        </w:tc>
        <w:tc>
          <w:tcPr>
            <w:tcW w:type="dxa" w:w="960"/>
          </w:tcPr>
          <w:p>
            <w:r>
              <w:rPr>
                <w:rFonts w:ascii="Calibri" w:hAnsi="Calibri"/>
                <w:sz w:val="22"/>
              </w:rPr>
              <w:t>+5.0%</w:t>
            </w:r>
          </w:p>
        </w:tc>
        <w:tc>
          <w:tcPr>
            <w:tcW w:type="dxa" w:w="960"/>
          </w:tcPr>
          <w:p>
            <w:r>
              <w:rPr>
                <w:rFonts w:ascii="Calibri" w:hAnsi="Calibri"/>
                <w:b/>
                <w:color w:val="30A46C"/>
                <w:sz w:val="22"/>
              </w:rPr>
              <w:t>Beat</w:t>
            </w:r>
          </w:p>
        </w:tc>
      </w:tr>
      <w:tr>
        <w:tc>
          <w:tcPr>
            <w:tcW w:type="dxa" w:w="960"/>
          </w:tcPr>
          <w:p>
            <w:r>
              <w:rPr>
                <w:rFonts w:ascii="Calibri" w:hAnsi="Calibri"/>
                <w:sz w:val="22"/>
              </w:rPr>
              <w:t>Q1 2026</w:t>
            </w:r>
          </w:p>
        </w:tc>
        <w:tc>
          <w:tcPr>
            <w:tcW w:type="dxa" w:w="960"/>
          </w:tcPr>
          <w:p>
            <w:r>
              <w:rPr>
                <w:rFonts w:ascii="Calibri" w:hAnsi="Calibri"/>
                <w:sz w:val="22"/>
              </w:rPr>
              <w:t>$7.87B</w:t>
            </w:r>
          </w:p>
        </w:tc>
        <w:tc>
          <w:tcPr>
            <w:tcW w:type="dxa" w:w="960"/>
          </w:tcPr>
          <w:p>
            <w:r>
              <w:rPr>
                <w:rFonts w:ascii="Calibri" w:hAnsi="Calibri"/>
                <w:sz w:val="22"/>
              </w:rPr>
              <w:t>$7.06B</w:t>
            </w:r>
          </w:p>
        </w:tc>
        <w:tc>
          <w:tcPr>
            <w:tcW w:type="dxa" w:w="960"/>
          </w:tcPr>
          <w:p>
            <w:r>
              <w:rPr>
                <w:rFonts w:ascii="Calibri" w:hAnsi="Calibri"/>
                <w:sz w:val="22"/>
              </w:rPr>
              <w:t>+11.5%</w:t>
            </w:r>
          </w:p>
        </w:tc>
        <w:tc>
          <w:tcPr>
            <w:tcW w:type="dxa" w:w="960"/>
          </w:tcPr>
          <w:p>
            <w:r>
              <w:rPr>
                <w:rFonts w:ascii="Calibri" w:hAnsi="Calibri"/>
                <w:b/>
                <w:color w:val="30A46C"/>
                <w:sz w:val="22"/>
              </w:rPr>
              <w:t>Beat</w:t>
            </w:r>
          </w:p>
        </w:tc>
        <w:tc>
          <w:tcPr>
            <w:tcW w:type="dxa" w:w="960"/>
          </w:tcPr>
          <w:p>
            <w:r>
              <w:rPr>
                <w:rFonts w:ascii="Calibri" w:hAnsi="Calibri"/>
                <w:sz w:val="22"/>
              </w:rPr>
              <w:t>$2.68</w:t>
            </w:r>
          </w:p>
        </w:tc>
        <w:tc>
          <w:tcPr>
            <w:tcW w:type="dxa" w:w="960"/>
          </w:tcPr>
          <w:p>
            <w:r>
              <w:rPr>
                <w:rFonts w:ascii="Calibri" w:hAnsi="Calibri"/>
                <w:sz w:val="22"/>
              </w:rPr>
              <w:t>$2.07</w:t>
            </w:r>
          </w:p>
        </w:tc>
        <w:tc>
          <w:tcPr>
            <w:tcW w:type="dxa" w:w="960"/>
          </w:tcPr>
          <w:p>
            <w:r>
              <w:rPr>
                <w:rFonts w:ascii="Calibri" w:hAnsi="Calibri"/>
                <w:sz w:val="22"/>
              </w:rPr>
              <w:t>+29.5%</w:t>
            </w:r>
          </w:p>
        </w:tc>
        <w:tc>
          <w:tcPr>
            <w:tcW w:type="dxa" w:w="96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PWR has beaten EPS consensus in 7 of the last 8 quarters, with the magnitude of beats accelerating — the Q1 2026 EPS beat of ~29.5% was the largest in recent history, driven entirely by organic execution with no acquisitions in the quarter.</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 xml:space="preserve">Management raised substantially all FY2026 guidance at Q1 earnings, carrying forward the beat AND raising the back half — a signal of genuine demand confidence, not a one-time pull-forward. </w:t>
      </w:r>
      <w:r>
        <w:rPr>
          <w:rFonts w:ascii="Calibri" w:hAnsi="Calibri"/>
          <w:b/>
          <w:color w:val="525866"/>
          <w:sz w:val="22"/>
        </w:rPr>
        <w:t>No post-earnings guidance revisions since April 30.</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Metric</w:t>
            </w:r>
          </w:p>
        </w:tc>
        <w:tc>
          <w:tcPr>
            <w:tcW w:type="dxa" w:w="1728"/>
          </w:tcPr>
          <w:p>
            <w:r>
              <w:rPr>
                <w:rFonts w:ascii="Calibri" w:hAnsi="Calibri"/>
                <w:b/>
                <w:sz w:val="22"/>
              </w:rPr>
              <w:t>Initial Guidance (Q1 2026 Earnings, Apr 30)</w:t>
            </w:r>
          </w:p>
        </w:tc>
        <w:tc>
          <w:tcPr>
            <w:tcW w:type="dxa" w:w="1728"/>
          </w:tcPr>
          <w:p>
            <w:r>
              <w:rPr>
                <w:rFonts w:ascii="Calibri" w:hAnsi="Calibri"/>
                <w:b/>
                <w:sz w:val="22"/>
              </w:rPr>
              <w:t>Revised Guidance</w:t>
            </w:r>
          </w:p>
        </w:tc>
        <w:tc>
          <w:tcPr>
            <w:tcW w:type="dxa" w:w="1728"/>
          </w:tcPr>
          <w:p>
            <w:r>
              <w:rPr>
                <w:rFonts w:ascii="Calibri" w:hAnsi="Calibri"/>
                <w:b/>
                <w:sz w:val="22"/>
              </w:rPr>
              <w:t>Current Consensus</w:t>
            </w:r>
          </w:p>
        </w:tc>
        <w:tc>
          <w:tcPr>
            <w:tcW w:type="dxa" w:w="1728"/>
          </w:tcPr>
          <w:p>
            <w:r>
              <w:rPr>
                <w:rFonts w:ascii="Calibri" w:hAnsi="Calibri"/>
                <w:b/>
                <w:sz w:val="22"/>
              </w:rPr>
              <w:t>Note</w:t>
            </w:r>
          </w:p>
        </w:tc>
      </w:tr>
      <w:tr>
        <w:tc>
          <w:tcPr>
            <w:tcW w:type="dxa" w:w="1728"/>
          </w:tcPr>
          <w:p>
            <w:r>
              <w:rPr>
                <w:rFonts w:ascii="Calibri" w:hAnsi="Calibri"/>
                <w:sz w:val="22"/>
              </w:rPr>
              <w:t>FY2026 Revenue</w:t>
            </w:r>
          </w:p>
        </w:tc>
        <w:tc>
          <w:tcPr>
            <w:tcW w:type="dxa" w:w="1728"/>
          </w:tcPr>
          <w:p>
            <w:r>
              <w:rPr>
                <w:rFonts w:ascii="Calibri" w:hAnsi="Calibri"/>
                <w:sz w:val="22"/>
              </w:rPr>
              <w:t>$34.7B–$35.2B</w:t>
            </w:r>
          </w:p>
        </w:tc>
        <w:tc>
          <w:tcPr>
            <w:tcW w:type="dxa" w:w="1728"/>
          </w:tcPr>
          <w:p>
            <w:r>
              <w:rPr>
                <w:rFonts w:ascii="Calibri" w:hAnsi="Calibri"/>
                <w:sz w:val="22"/>
              </w:rPr>
              <w:t>—</w:t>
            </w:r>
          </w:p>
        </w:tc>
        <w:tc>
          <w:tcPr>
            <w:tcW w:type="dxa" w:w="1728"/>
          </w:tcPr>
          <w:p>
            <w:r>
              <w:rPr>
                <w:rFonts w:ascii="Calibri" w:hAnsi="Calibri"/>
                <w:sz w:val="22"/>
              </w:rPr>
              <w:t>$35.0B</w:t>
            </w:r>
          </w:p>
        </w:tc>
        <w:tc>
          <w:tcPr>
            <w:tcW w:type="dxa" w:w="1728"/>
          </w:tcPr>
          <w:p>
            <w:r>
              <w:rPr>
                <w:rFonts w:ascii="Calibri" w:hAnsi="Calibri"/>
                <w:sz w:val="22"/>
              </w:rPr>
              <w:t>Raised from prior $33.0B–$33.6B range at Q1 earnings</w:t>
            </w:r>
          </w:p>
        </w:tc>
      </w:tr>
      <w:tr>
        <w:tc>
          <w:tcPr>
            <w:tcW w:type="dxa" w:w="1728"/>
          </w:tcPr>
          <w:p>
            <w:r>
              <w:rPr>
                <w:rFonts w:ascii="Calibri" w:hAnsi="Calibri"/>
                <w:sz w:val="22"/>
              </w:rPr>
              <w:t>FY2026 Operating EPS</w:t>
            </w:r>
          </w:p>
        </w:tc>
        <w:tc>
          <w:tcPr>
            <w:tcW w:type="dxa" w:w="1728"/>
          </w:tcPr>
          <w:p>
            <w:r>
              <w:rPr>
                <w:rFonts w:ascii="Calibri" w:hAnsi="Calibri"/>
                <w:sz w:val="22"/>
              </w:rPr>
              <w:t>$13.55–$14.25</w:t>
            </w:r>
          </w:p>
        </w:tc>
        <w:tc>
          <w:tcPr>
            <w:tcW w:type="dxa" w:w="1728"/>
          </w:tcPr>
          <w:p>
            <w:r>
              <w:rPr>
                <w:rFonts w:ascii="Calibri" w:hAnsi="Calibri"/>
                <w:sz w:val="22"/>
              </w:rPr>
              <w:t>—</w:t>
            </w:r>
          </w:p>
        </w:tc>
        <w:tc>
          <w:tcPr>
            <w:tcW w:type="dxa" w:w="1728"/>
          </w:tcPr>
          <w:p>
            <w:r>
              <w:rPr>
                <w:rFonts w:ascii="Calibri" w:hAnsi="Calibri"/>
                <w:sz w:val="22"/>
              </w:rPr>
              <w:t>$14.04</w:t>
            </w:r>
          </w:p>
        </w:tc>
        <w:tc>
          <w:tcPr>
            <w:tcW w:type="dxa" w:w="1728"/>
          </w:tcPr>
          <w:p>
            <w:r>
              <w:rPr>
                <w:rFonts w:ascii="Calibri" w:hAnsi="Calibri"/>
                <w:sz w:val="22"/>
              </w:rPr>
              <w:t>Raised from prior $12.45–$13.15; raised $50M above Q1 beat</w:t>
            </w:r>
          </w:p>
        </w:tc>
      </w:tr>
      <w:tr>
        <w:tc>
          <w:tcPr>
            <w:tcW w:type="dxa" w:w="1728"/>
          </w:tcPr>
          <w:p>
            <w:r>
              <w:rPr>
                <w:rFonts w:ascii="Calibri" w:hAnsi="Calibri"/>
                <w:sz w:val="22"/>
              </w:rPr>
              <w:t>FY2026 Operating EBITDA</w:t>
            </w:r>
          </w:p>
        </w:tc>
        <w:tc>
          <w:tcPr>
            <w:tcW w:type="dxa" w:w="1728"/>
          </w:tcPr>
          <w:p>
            <w:r>
              <w:rPr>
                <w:rFonts w:ascii="Calibri" w:hAnsi="Calibri"/>
                <w:sz w:val="22"/>
              </w:rPr>
              <w:t>$3.49B–$3.65B</w:t>
            </w:r>
          </w:p>
        </w:tc>
        <w:tc>
          <w:tcPr>
            <w:tcW w:type="dxa" w:w="1728"/>
          </w:tcPr>
          <w:p>
            <w:r>
              <w:rPr>
                <w:rFonts w:ascii="Calibri" w:hAnsi="Calibri"/>
                <w:sz w:val="22"/>
              </w:rPr>
              <w:t>—</w:t>
            </w:r>
          </w:p>
        </w:tc>
        <w:tc>
          <w:tcPr>
            <w:tcW w:type="dxa" w:w="1728"/>
          </w:tcPr>
          <w:p>
            <w:r>
              <w:rPr>
                <w:rFonts w:ascii="Calibri" w:hAnsi="Calibri"/>
                <w:sz w:val="22"/>
              </w:rPr>
              <w:t>$3.60B</w:t>
            </w:r>
          </w:p>
        </w:tc>
        <w:tc>
          <w:tcPr>
            <w:tcW w:type="dxa" w:w="1728"/>
          </w:tcPr>
          <w:p>
            <w:r>
              <w:rPr>
                <w:rFonts w:ascii="Calibri" w:hAnsi="Calibri"/>
                <w:sz w:val="22"/>
              </w:rPr>
              <w:t>Raised from prior $3.25B–$3.41B</w:t>
            </w:r>
          </w:p>
        </w:tc>
      </w:tr>
      <w:tr>
        <w:tc>
          <w:tcPr>
            <w:tcW w:type="dxa" w:w="1728"/>
          </w:tcPr>
          <w:p>
            <w:r>
              <w:rPr>
                <w:rFonts w:ascii="Calibri" w:hAnsi="Calibri"/>
                <w:sz w:val="22"/>
              </w:rPr>
              <w:t>FY2026 Free Cash Flow</w:t>
            </w:r>
          </w:p>
        </w:tc>
        <w:tc>
          <w:tcPr>
            <w:tcW w:type="dxa" w:w="1728"/>
          </w:tcPr>
          <w:p>
            <w:r>
              <w:rPr>
                <w:rFonts w:ascii="Calibri" w:hAnsi="Calibri"/>
                <w:sz w:val="22"/>
              </w:rPr>
              <w:t>Unchanged (prior range)</w:t>
            </w:r>
          </w:p>
        </w:tc>
        <w:tc>
          <w:tcPr>
            <w:tcW w:type="dxa" w:w="1728"/>
          </w:tcPr>
          <w:p>
            <w:r>
              <w:rPr>
                <w:rFonts w:ascii="Calibri" w:hAnsi="Calibri"/>
                <w:sz w:val="22"/>
              </w:rPr>
              <w:t>—</w:t>
            </w:r>
          </w:p>
        </w:tc>
        <w:tc>
          <w:tcPr>
            <w:tcW w:type="dxa" w:w="1728"/>
          </w:tcPr>
          <w:p>
            <w:r>
              <w:rPr>
                <w:rFonts w:ascii="Calibri" w:hAnsi="Calibri"/>
                <w:sz w:val="22"/>
              </w:rPr>
              <w:t>$1.94B</w:t>
            </w:r>
          </w:p>
        </w:tc>
        <w:tc>
          <w:tcPr>
            <w:tcW w:type="dxa" w:w="1728"/>
          </w:tcPr>
          <w:p>
            <w:r>
              <w:rPr>
                <w:rFonts w:ascii="Calibri" w:hAnsi="Calibri"/>
                <w:sz w:val="22"/>
              </w:rPr>
              <w:t>CFO expressed greater confidence in hitting high end of range</w:t>
            </w:r>
          </w:p>
        </w:tc>
      </w:tr>
      <w:tr>
        <w:tc>
          <w:tcPr>
            <w:tcW w:type="dxa" w:w="1728"/>
          </w:tcPr>
          <w:p>
            <w:r>
              <w:rPr>
                <w:rFonts w:ascii="Calibri" w:hAnsi="Calibri"/>
                <w:sz w:val="22"/>
              </w:rPr>
              <w:t>Technology/Load Center Revenue Growth</w:t>
            </w:r>
          </w:p>
        </w:tc>
        <w:tc>
          <w:tcPr>
            <w:tcW w:type="dxa" w:w="1728"/>
          </w:tcPr>
          <w:p>
            <w:r>
              <w:rPr>
                <w:rFonts w:ascii="Calibri" w:hAnsi="Calibri"/>
                <w:sz w:val="22"/>
              </w:rPr>
              <w:t>70% → raised to 110%</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Substantially raised at Q1 earnings; fast-paced market</w:t>
            </w:r>
          </w:p>
        </w:tc>
      </w:tr>
      <w:tr>
        <w:tc>
          <w:tcPr>
            <w:tcW w:type="dxa" w:w="1728"/>
          </w:tcPr>
          <w:p>
            <w:r>
              <w:rPr>
                <w:rFonts w:ascii="Calibri" w:hAnsi="Calibri"/>
                <w:sz w:val="22"/>
              </w:rPr>
              <w:t>Large Transmission Bookings</w:t>
            </w:r>
          </w:p>
        </w:tc>
        <w:tc>
          <w:tcPr>
            <w:tcW w:type="dxa" w:w="1728"/>
          </w:tcPr>
          <w:p>
            <w:r>
              <w:rPr>
                <w:rFonts w:ascii="Calibri" w:hAnsi="Calibri"/>
                <w:sz w:val="22"/>
              </w:rPr>
              <w:t>Expected late 2026/early 2027</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765kV first meaningful project entered backlog in Q1</w:t>
            </w:r>
          </w:p>
        </w:tc>
      </w:tr>
    </w:tbl>
    <w:p>
      <w:r>
        <w:rPr>
          <w:rFonts w:ascii="Calibri" w:hAnsi="Calibri"/>
          <w:color w:val="525866"/>
          <w:sz w:val="22"/>
        </w:rPr>
        <w:t>Management tone on the Q1 call was notably confident — CEO Earl Austin stated guidance is “prudent” and raised it $50M above the Q1 beat, signaling back-half visibility. CFO Jayshree Desai expressed greater confidence in hitting the high end of the free cash flow range. No post-earnings 8-K or conference guidance updates have been filed since April 30, 2026.</w:t>
      </w:r>
    </w:p>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flat since Q1 earnings — the Street absorbed the guidance raise without getting ahead of itself, leaving </w:t>
      </w:r>
      <w:r>
        <w:rPr>
          <w:rFonts w:ascii="Calibri" w:hAnsi="Calibri"/>
          <w:b/>
          <w:color w:val="525866"/>
          <w:sz w:val="22"/>
        </w:rPr>
        <w:t>limited risk of a ‘buy the rumor, sell the news’ dynamic</w:t>
      </w:r>
      <w:r>
        <w:rPr>
          <w:rFonts w:ascii="Calibri" w:hAnsi="Calibri"/>
          <w:color w:val="525866"/>
          <w:sz w:val="22"/>
        </w:rPr>
        <w:t xml:space="preserve"> if Q2 delivers another organic beat.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tcPr>
          <w:p>
            <w:r>
              <w:rPr>
                <w:rFonts w:ascii="Calibri" w:hAnsi="Calibri"/>
                <w:b/>
                <w:sz w:val="22"/>
              </w:rPr>
              <w:t>KPI / Period</w:t>
            </w:r>
          </w:p>
        </w:tc>
        <w:tc>
          <w:tcPr>
            <w:tcW w:type="dxa" w:w="1080"/>
          </w:tcPr>
          <w:p>
            <w:r>
              <w:rPr>
                <w:rFonts w:ascii="Calibri" w:hAnsi="Calibri"/>
                <w:b/>
                <w:sz w:val="22"/>
              </w:rPr>
              <w:t>Estimate (May 5, 2026 — 5 days post Q1)</w:t>
            </w:r>
          </w:p>
        </w:tc>
        <w:tc>
          <w:tcPr>
            <w:tcW w:type="dxa" w:w="1080"/>
          </w:tcPr>
          <w:p>
            <w:r>
              <w:rPr>
                <w:rFonts w:ascii="Calibri" w:hAnsi="Calibri"/>
                <w:b/>
                <w:sz w:val="22"/>
              </w:rPr>
              <w:t>Current Consensus</w:t>
            </w:r>
          </w:p>
        </w:tc>
        <w:tc>
          <w:tcPr>
            <w:tcW w:type="dxa" w:w="1080"/>
          </w:tcPr>
          <w:p>
            <w:r>
              <w:rPr>
                <w:rFonts w:ascii="Calibri" w:hAnsi="Calibri"/>
                <w:b/>
                <w:sz w:val="22"/>
              </w:rPr>
              <w:t>Estimate Δ</w:t>
            </w:r>
          </w:p>
        </w:tc>
        <w:tc>
          <w:tcPr>
            <w:tcW w:type="dxa" w:w="1080"/>
          </w:tcPr>
          <w:p>
            <w:r>
              <w:rPr>
                <w:rFonts w:ascii="Calibri" w:hAnsi="Calibri"/>
                <w:b/>
                <w:sz w:val="22"/>
              </w:rPr>
              <w:t>Initial Guidance (Q1 Call)</w:t>
            </w:r>
          </w:p>
        </w:tc>
        <w:tc>
          <w:tcPr>
            <w:tcW w:type="dxa" w:w="1080"/>
          </w:tcPr>
          <w:p>
            <w:r>
              <w:rPr>
                <w:rFonts w:ascii="Calibri" w:hAnsi="Calibri"/>
                <w:b/>
                <w:sz w:val="22"/>
              </w:rPr>
              <w:t>Current Guidance</w:t>
            </w:r>
          </w:p>
        </w:tc>
        <w:tc>
          <w:tcPr>
            <w:tcW w:type="dxa" w:w="1080"/>
          </w:tcPr>
          <w:p>
            <w:r>
              <w:rPr>
                <w:rFonts w:ascii="Calibri" w:hAnsi="Calibri"/>
                <w:b/>
                <w:sz w:val="22"/>
              </w:rPr>
              <w:t>Guidance Δ</w:t>
            </w:r>
          </w:p>
        </w:tc>
        <w:tc>
          <w:tcPr>
            <w:tcW w:type="dxa" w:w="1080"/>
          </w:tcPr>
          <w:p>
            <w:r>
              <w:rPr>
                <w:rFonts w:ascii="Calibri" w:hAnsi="Calibri"/>
                <w:b/>
                <w:sz w:val="22"/>
              </w:rPr>
              <w:t>Cons vs. Guidance</w:t>
            </w:r>
          </w:p>
        </w:tc>
      </w:tr>
      <w:tr>
        <w:tc>
          <w:tcPr>
            <w:tcW w:type="dxa" w:w="1080"/>
          </w:tcPr>
          <w:p>
            <w:r>
              <w:rPr>
                <w:rFonts w:ascii="Calibri" w:hAnsi="Calibri"/>
                <w:sz w:val="22"/>
              </w:rPr>
              <w:t>Revenue — Q2 2026</w:t>
            </w:r>
          </w:p>
        </w:tc>
        <w:tc>
          <w:tcPr>
            <w:tcW w:type="dxa" w:w="1080"/>
          </w:tcPr>
          <w:p>
            <w:r>
              <w:rPr>
                <w:rFonts w:ascii="Calibri" w:hAnsi="Calibri"/>
                <w:sz w:val="22"/>
              </w:rPr>
              <w:t>$8.56B</w:t>
            </w:r>
          </w:p>
        </w:tc>
        <w:tc>
          <w:tcPr>
            <w:tcW w:type="dxa" w:w="1080"/>
          </w:tcPr>
          <w:p>
            <w:r>
              <w:rPr>
                <w:rFonts w:ascii="Calibri" w:hAnsi="Calibri"/>
                <w:sz w:val="22"/>
              </w:rPr>
              <w:t>$8.53B</w:t>
            </w:r>
          </w:p>
        </w:tc>
        <w:tc>
          <w:tcPr>
            <w:tcW w:type="dxa" w:w="1080"/>
          </w:tcPr>
          <w:p>
            <w:r>
              <w:rPr>
                <w:rFonts w:ascii="Calibri" w:hAnsi="Calibri"/>
                <w:sz w:val="22"/>
              </w:rPr>
              <w:t>-0.3%</w:t>
            </w:r>
          </w:p>
        </w:tc>
        <w:tc>
          <w:tcPr>
            <w:tcW w:type="dxa" w:w="1080"/>
          </w:tcPr>
          <w:p>
            <w:r>
              <w:rPr>
                <w:rFonts w:ascii="Calibri" w:hAnsi="Calibri"/>
                <w:sz w:val="22"/>
              </w:rPr>
              <w:t>No specific Q2 guide</w:t>
            </w:r>
          </w:p>
        </w:tc>
        <w:tc>
          <w:tcPr>
            <w:tcW w:type="dxa" w:w="1080"/>
          </w:tcPr>
          <w:p>
            <w:r>
              <w:rPr>
                <w:rFonts w:ascii="Calibri" w:hAnsi="Calibri"/>
                <w:sz w:val="22"/>
              </w:rPr>
              <w:t>No specific Q2 guide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FY2026</w:t>
            </w:r>
          </w:p>
        </w:tc>
        <w:tc>
          <w:tcPr>
            <w:tcW w:type="dxa" w:w="1080"/>
          </w:tcPr>
          <w:p>
            <w:r>
              <w:rPr>
                <w:rFonts w:ascii="Calibri" w:hAnsi="Calibri"/>
                <w:sz w:val="22"/>
              </w:rPr>
              <w:t>$35.01B</w:t>
            </w:r>
          </w:p>
        </w:tc>
        <w:tc>
          <w:tcPr>
            <w:tcW w:type="dxa" w:w="1080"/>
          </w:tcPr>
          <w:p>
            <w:r>
              <w:rPr>
                <w:rFonts w:ascii="Calibri" w:hAnsi="Calibri"/>
                <w:sz w:val="22"/>
              </w:rPr>
              <w:t>$35.02B</w:t>
            </w:r>
          </w:p>
        </w:tc>
        <w:tc>
          <w:tcPr>
            <w:tcW w:type="dxa" w:w="1080"/>
          </w:tcPr>
          <w:p>
            <w:r>
              <w:rPr>
                <w:rFonts w:ascii="Calibri" w:hAnsi="Calibri"/>
                <w:sz w:val="22"/>
              </w:rPr>
              <w:t>+0.0%</w:t>
            </w:r>
          </w:p>
        </w:tc>
        <w:tc>
          <w:tcPr>
            <w:tcW w:type="dxa" w:w="1080"/>
          </w:tcPr>
          <w:p>
            <w:r>
              <w:rPr>
                <w:rFonts w:ascii="Calibri" w:hAnsi="Calibri"/>
                <w:sz w:val="22"/>
              </w:rPr>
              <w:t>$34.7B–$35.2B</w:t>
            </w:r>
          </w:p>
        </w:tc>
        <w:tc>
          <w:tcPr>
            <w:tcW w:type="dxa" w:w="1080"/>
          </w:tcPr>
          <w:p>
            <w:r>
              <w:rPr>
                <w:rFonts w:ascii="Calibri" w:hAnsi="Calibri"/>
                <w:sz w:val="22"/>
              </w:rPr>
              <w:t>$34.7B–$35.2B</w:t>
            </w:r>
          </w:p>
        </w:tc>
        <w:tc>
          <w:tcPr>
            <w:tcW w:type="dxa" w:w="1080"/>
          </w:tcPr>
          <w:p>
            <w:r>
              <w:rPr>
                <w:rFonts w:ascii="Calibri" w:hAnsi="Calibri"/>
                <w:sz w:val="22"/>
              </w:rPr>
              <w:t>Unchanged</w:t>
            </w:r>
          </w:p>
        </w:tc>
        <w:tc>
          <w:tcPr>
            <w:tcW w:type="dxa" w:w="1080"/>
          </w:tcPr>
          <w:p>
            <w:r>
              <w:rPr>
                <w:rFonts w:ascii="Calibri" w:hAnsi="Calibri"/>
                <w:sz w:val="22"/>
              </w:rPr>
              <w:t>~+1% above midpoint</w:t>
            </w:r>
          </w:p>
        </w:tc>
      </w:tr>
      <w:tr>
        <w:tc>
          <w:tcPr>
            <w:tcW w:type="dxa" w:w="1080"/>
          </w:tcPr>
          <w:p>
            <w:r>
              <w:rPr>
                <w:rFonts w:ascii="Calibri" w:hAnsi="Calibri"/>
                <w:sz w:val="22"/>
              </w:rPr>
              <w:t>Op. EPS — Q2 2026</w:t>
            </w:r>
          </w:p>
        </w:tc>
        <w:tc>
          <w:tcPr>
            <w:tcW w:type="dxa" w:w="1080"/>
          </w:tcPr>
          <w:p>
            <w:r>
              <w:rPr>
                <w:rFonts w:ascii="Calibri" w:hAnsi="Calibri"/>
                <w:sz w:val="22"/>
              </w:rPr>
              <w:t>$3.28</w:t>
            </w:r>
          </w:p>
        </w:tc>
        <w:tc>
          <w:tcPr>
            <w:tcW w:type="dxa" w:w="1080"/>
          </w:tcPr>
          <w:p>
            <w:r>
              <w:rPr>
                <w:rFonts w:ascii="Calibri" w:hAnsi="Calibri"/>
                <w:sz w:val="22"/>
              </w:rPr>
              <w:t>$3.28</w:t>
            </w:r>
          </w:p>
        </w:tc>
        <w:tc>
          <w:tcPr>
            <w:tcW w:type="dxa" w:w="1080"/>
          </w:tcPr>
          <w:p>
            <w:r>
              <w:rPr>
                <w:rFonts w:ascii="Calibri" w:hAnsi="Calibri"/>
                <w:sz w:val="22"/>
              </w:rPr>
              <w:t>+0.0%</w:t>
            </w:r>
          </w:p>
        </w:tc>
        <w:tc>
          <w:tcPr>
            <w:tcW w:type="dxa" w:w="1080"/>
          </w:tcPr>
          <w:p>
            <w:r>
              <w:rPr>
                <w:rFonts w:ascii="Calibri" w:hAnsi="Calibri"/>
                <w:sz w:val="22"/>
              </w:rPr>
              <w:t>No specific Q2 guide</w:t>
            </w:r>
          </w:p>
        </w:tc>
        <w:tc>
          <w:tcPr>
            <w:tcW w:type="dxa" w:w="1080"/>
          </w:tcPr>
          <w:p>
            <w:r>
              <w:rPr>
                <w:rFonts w:ascii="Calibri" w:hAnsi="Calibri"/>
                <w:sz w:val="22"/>
              </w:rPr>
              <w:t>No specific Q2 guide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 EPS — FY2026</w:t>
            </w:r>
          </w:p>
        </w:tc>
        <w:tc>
          <w:tcPr>
            <w:tcW w:type="dxa" w:w="1080"/>
          </w:tcPr>
          <w:p>
            <w:r>
              <w:rPr>
                <w:rFonts w:ascii="Calibri" w:hAnsi="Calibri"/>
                <w:sz w:val="22"/>
              </w:rPr>
              <w:t>$14.03</w:t>
            </w:r>
          </w:p>
        </w:tc>
        <w:tc>
          <w:tcPr>
            <w:tcW w:type="dxa" w:w="1080"/>
          </w:tcPr>
          <w:p>
            <w:r>
              <w:rPr>
                <w:rFonts w:ascii="Calibri" w:hAnsi="Calibri"/>
                <w:sz w:val="22"/>
              </w:rPr>
              <w:t>$14.04</w:t>
            </w:r>
          </w:p>
        </w:tc>
        <w:tc>
          <w:tcPr>
            <w:tcW w:type="dxa" w:w="1080"/>
          </w:tcPr>
          <w:p>
            <w:r>
              <w:rPr>
                <w:rFonts w:ascii="Calibri" w:hAnsi="Calibri"/>
                <w:sz w:val="22"/>
              </w:rPr>
              <w:t>+0.1%</w:t>
            </w:r>
          </w:p>
        </w:tc>
        <w:tc>
          <w:tcPr>
            <w:tcW w:type="dxa" w:w="1080"/>
          </w:tcPr>
          <w:p>
            <w:r>
              <w:rPr>
                <w:rFonts w:ascii="Calibri" w:hAnsi="Calibri"/>
                <w:sz w:val="22"/>
              </w:rPr>
              <w:t>$13.55–$14.25</w:t>
            </w:r>
          </w:p>
        </w:tc>
        <w:tc>
          <w:tcPr>
            <w:tcW w:type="dxa" w:w="1080"/>
          </w:tcPr>
          <w:p>
            <w:r>
              <w:rPr>
                <w:rFonts w:ascii="Calibri" w:hAnsi="Calibri"/>
                <w:sz w:val="22"/>
              </w:rPr>
              <w:t>$13.55–$14.25</w:t>
            </w:r>
          </w:p>
        </w:tc>
        <w:tc>
          <w:tcPr>
            <w:tcW w:type="dxa" w:w="1080"/>
          </w:tcPr>
          <w:p>
            <w:r>
              <w:rPr>
                <w:rFonts w:ascii="Calibri" w:hAnsi="Calibri"/>
                <w:sz w:val="22"/>
              </w:rPr>
              <w:t>Unchanged</w:t>
            </w:r>
          </w:p>
        </w:tc>
        <w:tc>
          <w:tcPr>
            <w:tcW w:type="dxa" w:w="1080"/>
          </w:tcPr>
          <w:p>
            <w:r>
              <w:rPr>
                <w:rFonts w:ascii="Calibri" w:hAnsi="Calibri"/>
                <w:sz w:val="22"/>
              </w:rPr>
              <w:t>~+1% above midpoint</w:t>
            </w:r>
          </w:p>
        </w:tc>
      </w:tr>
      <w:tr>
        <w:tc>
          <w:tcPr>
            <w:tcW w:type="dxa" w:w="1080"/>
          </w:tcPr>
          <w:p>
            <w:r>
              <w:rPr>
                <w:rFonts w:ascii="Calibri" w:hAnsi="Calibri"/>
                <w:sz w:val="22"/>
              </w:rPr>
              <w:t>Op. EBITDA — Q2 2026</w:t>
            </w:r>
          </w:p>
        </w:tc>
        <w:tc>
          <w:tcPr>
            <w:tcW w:type="dxa" w:w="1080"/>
          </w:tcPr>
          <w:p>
            <w:r>
              <w:rPr>
                <w:rFonts w:ascii="Calibri" w:hAnsi="Calibri"/>
                <w:sz w:val="22"/>
              </w:rPr>
              <w:t>$862M</w:t>
            </w:r>
          </w:p>
        </w:tc>
        <w:tc>
          <w:tcPr>
            <w:tcW w:type="dxa" w:w="1080"/>
          </w:tcPr>
          <w:p>
            <w:r>
              <w:rPr>
                <w:rFonts w:ascii="Calibri" w:hAnsi="Calibri"/>
                <w:sz w:val="22"/>
              </w:rPr>
              <w:t>$866M</w:t>
            </w:r>
          </w:p>
        </w:tc>
        <w:tc>
          <w:tcPr>
            <w:tcW w:type="dxa" w:w="1080"/>
          </w:tcPr>
          <w:p>
            <w:r>
              <w:rPr>
                <w:rFonts w:ascii="Calibri" w:hAnsi="Calibri"/>
                <w:sz w:val="22"/>
              </w:rPr>
              <w:t>+0.5%</w:t>
            </w:r>
          </w:p>
        </w:tc>
        <w:tc>
          <w:tcPr>
            <w:tcW w:type="dxa" w:w="1080"/>
          </w:tcPr>
          <w:p>
            <w:r>
              <w:rPr>
                <w:rFonts w:ascii="Calibri" w:hAnsi="Calibri"/>
                <w:sz w:val="22"/>
              </w:rPr>
              <w:t>No specific Q2 guide</w:t>
            </w:r>
          </w:p>
        </w:tc>
        <w:tc>
          <w:tcPr>
            <w:tcW w:type="dxa" w:w="1080"/>
          </w:tcPr>
          <w:p>
            <w:r>
              <w:rPr>
                <w:rFonts w:ascii="Calibri" w:hAnsi="Calibri"/>
                <w:sz w:val="22"/>
              </w:rPr>
              <w:t>No specific Q2 guide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 EBITDA — FY2026</w:t>
            </w:r>
          </w:p>
        </w:tc>
        <w:tc>
          <w:tcPr>
            <w:tcW w:type="dxa" w:w="1080"/>
          </w:tcPr>
          <w:p>
            <w:r>
              <w:rPr>
                <w:rFonts w:ascii="Calibri" w:hAnsi="Calibri"/>
                <w:sz w:val="22"/>
              </w:rPr>
              <w:t>$3.58B</w:t>
            </w:r>
          </w:p>
        </w:tc>
        <w:tc>
          <w:tcPr>
            <w:tcW w:type="dxa" w:w="1080"/>
          </w:tcPr>
          <w:p>
            <w:r>
              <w:rPr>
                <w:rFonts w:ascii="Calibri" w:hAnsi="Calibri"/>
                <w:sz w:val="22"/>
              </w:rPr>
              <w:t>$3.60B</w:t>
            </w:r>
          </w:p>
        </w:tc>
        <w:tc>
          <w:tcPr>
            <w:tcW w:type="dxa" w:w="1080"/>
          </w:tcPr>
          <w:p>
            <w:r>
              <w:rPr>
                <w:rFonts w:ascii="Calibri" w:hAnsi="Calibri"/>
                <w:sz w:val="22"/>
              </w:rPr>
              <w:t>+0.5%</w:t>
            </w:r>
          </w:p>
        </w:tc>
        <w:tc>
          <w:tcPr>
            <w:tcW w:type="dxa" w:w="1080"/>
          </w:tcPr>
          <w:p>
            <w:r>
              <w:rPr>
                <w:rFonts w:ascii="Calibri" w:hAnsi="Calibri"/>
                <w:sz w:val="22"/>
              </w:rPr>
              <w:t>$3.49B–$3.65B</w:t>
            </w:r>
          </w:p>
        </w:tc>
        <w:tc>
          <w:tcPr>
            <w:tcW w:type="dxa" w:w="1080"/>
          </w:tcPr>
          <w:p>
            <w:r>
              <w:rPr>
                <w:rFonts w:ascii="Calibri" w:hAnsi="Calibri"/>
                <w:sz w:val="22"/>
              </w:rPr>
              <w:t>$3.49B–$3.65B</w:t>
            </w:r>
          </w:p>
        </w:tc>
        <w:tc>
          <w:tcPr>
            <w:tcW w:type="dxa" w:w="1080"/>
          </w:tcPr>
          <w:p>
            <w:r>
              <w:rPr>
                <w:rFonts w:ascii="Calibri" w:hAnsi="Calibri"/>
                <w:sz w:val="22"/>
              </w:rPr>
              <w:t>Unchanged</w:t>
            </w:r>
          </w:p>
        </w:tc>
        <w:tc>
          <w:tcPr>
            <w:tcW w:type="dxa" w:w="1080"/>
          </w:tcPr>
          <w:p>
            <w:r>
              <w:rPr>
                <w:rFonts w:ascii="Calibri" w:hAnsi="Calibri"/>
                <w:sz w:val="22"/>
              </w:rPr>
              <w:t>~+1% above midpoint</w:t>
            </w:r>
          </w:p>
        </w:tc>
      </w:tr>
      <w:tr>
        <w:tc>
          <w:tcPr>
            <w:tcW w:type="dxa" w:w="1080"/>
          </w:tcPr>
          <w:p>
            <w:r>
              <w:rPr>
                <w:rFonts w:ascii="Calibri" w:hAnsi="Calibri"/>
                <w:sz w:val="22"/>
              </w:rPr>
              <w:t>Total Backlog — Q2 2026</w:t>
            </w:r>
          </w:p>
        </w:tc>
        <w:tc>
          <w:tcPr>
            <w:tcW w:type="dxa" w:w="1080"/>
          </w:tcPr>
          <w:p>
            <w:r>
              <w:rPr>
                <w:rFonts w:ascii="Calibri" w:hAnsi="Calibri"/>
                <w:sz w:val="22"/>
              </w:rPr>
              <w:t>$49.90B</w:t>
            </w:r>
          </w:p>
        </w:tc>
        <w:tc>
          <w:tcPr>
            <w:tcW w:type="dxa" w:w="1080"/>
          </w:tcPr>
          <w:p>
            <w:r>
              <w:rPr>
                <w:rFonts w:ascii="Calibri" w:hAnsi="Calibri"/>
                <w:sz w:val="22"/>
              </w:rPr>
              <w:t>$49.22B</w:t>
            </w:r>
          </w:p>
        </w:tc>
        <w:tc>
          <w:tcPr>
            <w:tcW w:type="dxa" w:w="1080"/>
          </w:tcPr>
          <w:p>
            <w:r>
              <w:rPr>
                <w:rFonts w:ascii="Calibri" w:hAnsi="Calibri"/>
                <w:sz w:val="22"/>
              </w:rPr>
              <w:t>-1.4%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have been remarkably stable since Q1 earnings — the Street has essentially taken the guidance raise at face value without adding incremental upside. This is a relatively clean setup: if PWR delivers another organic beat (as it has in 7 of the last 8 quarters), there is room for meaningful upward revision to both Q3 and FY2026 estimates.</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PWR has dramatically underperformed the S&amp;P 500 since Q1 earnings (</w:t>
      </w:r>
      <w:r>
        <w:rPr>
          <w:rFonts w:ascii="Calibri" w:hAnsi="Calibri"/>
          <w:b/>
          <w:color w:val="E5484D"/>
          <w:sz w:val="22"/>
        </w:rPr>
        <w:t>-23% vs. +1.5% for SPY</w:t>
      </w:r>
      <w:r>
        <w:rPr>
          <w:rFonts w:ascii="Calibri" w:hAnsi="Calibri"/>
          <w:color w:val="525866"/>
          <w:sz w:val="22"/>
        </w:rPr>
        <w:t xml:space="preserve">), driven entirely by </w:t>
      </w:r>
      <w:r>
        <w:rPr>
          <w:rFonts w:ascii="Calibri" w:hAnsi="Calibri"/>
          <w:b/>
          <w:color w:val="525866"/>
          <w:sz w:val="22"/>
        </w:rPr>
        <w:t>multiple compression</w:t>
      </w:r>
      <w:r>
        <w:rPr>
          <w:rFonts w:ascii="Calibri" w:hAnsi="Calibri"/>
          <w:color w:val="525866"/>
          <w:sz w:val="22"/>
        </w:rPr>
        <w:t xml:space="preserve"> — the fundamental story has improved but the stock has re-rated lower, creating a potentially attractive entry point ahead of Q2.</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PWR vs. IEI (3-7yr Treasury) vs. S&amp;P 500 — Indexed to 100 at Q1 2026 Earnings (April 30, 2026). Source: Stock Price Data.</w:t>
      </w:r>
    </w:p>
    <w:p>
      <w:r>
        <w:rPr>
          <w:rFonts w:ascii="Calibri" w:hAnsi="Calibri"/>
          <w:b/>
          <w:color w:val="525866"/>
          <w:sz w:val="22"/>
        </w:rPr>
        <w:t xml:space="preserve">Note on ETF: </w:t>
      </w:r>
      <w:r>
        <w:rPr>
          <w:rFonts w:ascii="Calibri" w:hAnsi="Calibri"/>
          <w:color w:val="525866"/>
          <w:sz w:val="22"/>
        </w:rPr>
        <w:t>IEI (iShares 3-7 Year Treasury Bond ETF) is used as a rate/macro reference rather than a direct sector ETF. PWR closed at $727.77 on Q1 earnings day (April 30, 2026) and has declined to ~$561 as of July 28, 2026 — a loss of ~$166.63 / -22.9% — while the S&amp;P 500 gained ~+1.5% over the same period. The underperformance is notable given the strong Q1 beat and guidance raise, suggesting the market has been pricing in macro/rate concerns or sector rotation rather than company-specific deterioration. The stock peaked at ~$785 in mid-May before a sustained selloff through July. The CEO’s open-market sale of ~156,000 shares on May 5 at ~$771 coincided with the peak and may have contributed to the subsequent decline.</w:t>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 xml:space="preserve">No major company-specific negative catalysts since Q1 earnings; the most notable development is the </w:t>
      </w:r>
      <w:r>
        <w:rPr>
          <w:rFonts w:ascii="Calibri" w:hAnsi="Calibri"/>
          <w:b/>
          <w:color w:val="525866"/>
          <w:sz w:val="22"/>
        </w:rPr>
        <w:t>CEO’s open-market sale of 130,000 shares on May 5 at ~$771</w:t>
      </w:r>
      <w:r>
        <w:rPr>
          <w:rFonts w:ascii="Calibri" w:hAnsi="Calibri"/>
          <w:color w:val="525866"/>
          <w:sz w:val="22"/>
        </w:rPr>
        <w:t>, which may have contributed to the stock’s subsequent underperformance. Peer read-throughs are uniformly positive.</w:t>
      </w:r>
    </w:p>
    <w:p>
      <w:pPr>
        <w:pStyle w:val="ListBullet"/>
        <w:ind w:left="360" w:hanging="360"/>
      </w:pPr>
      <w:r>
        <w:rPr>
          <w:rFonts w:ascii="Calibri" w:hAnsi="Calibri"/>
          <w:b/>
          <w:color w:val="525866"/>
          <w:sz w:val="22"/>
        </w:rPr>
        <w:t xml:space="preserve">July 10, 2026 — Q2 Earnings Date Announced: </w:t>
      </w:r>
      <w:r>
        <w:rPr>
          <w:rFonts w:ascii="Calibri" w:hAnsi="Calibri"/>
          <w:color w:val="525866"/>
          <w:sz w:val="22"/>
        </w:rPr>
        <w:t xml:space="preserve">Quanta confirmed Q2 2026 results will be released July 30, 2026 before market open, with a 9:00 a.m. ET webcast. Management will post supplemental Operational and Financial Commentary to largely replace prepared remarks, allowing more Q&amp;A time. </w:t>
      </w:r>
    </w:p>
    <w:p>
      <w:pPr>
        <w:pStyle w:val="ListBullet"/>
        <w:ind w:left="360" w:hanging="360"/>
      </w:pPr>
      <w:r>
        <w:rPr>
          <w:rFonts w:ascii="Calibri" w:hAnsi="Calibri"/>
          <w:b/>
          <w:color w:val="525866"/>
          <w:sz w:val="22"/>
        </w:rPr>
        <w:t xml:space="preserve">May 19, 2026 — Investor Conference Participation: </w:t>
      </w:r>
      <w:r>
        <w:rPr>
          <w:rFonts w:ascii="Calibri" w:hAnsi="Calibri"/>
          <w:color w:val="525866"/>
          <w:sz w:val="22"/>
        </w:rPr>
        <w:t>Quanta announced participation in several institutional investor conferences in May and June, providing management access to the buy-side during the quarter.</w:t>
      </w:r>
    </w:p>
    <w:p>
      <w:pPr>
        <w:pStyle w:val="ListBullet"/>
        <w:ind w:left="360" w:hanging="360"/>
      </w:pPr>
      <w:r>
        <w:rPr>
          <w:rFonts w:ascii="Calibri" w:hAnsi="Calibri"/>
          <w:b/>
          <w:color w:val="525866"/>
          <w:sz w:val="22"/>
        </w:rPr>
        <w:t xml:space="preserve">May 5, 2026 — CEO Open-Market Sale: </w:t>
      </w:r>
      <w:r>
        <w:rPr>
          <w:rFonts w:ascii="Calibri" w:hAnsi="Calibri"/>
          <w:color w:val="525866"/>
          <w:sz w:val="22"/>
        </w:rPr>
        <w:t xml:space="preserve">CEO Earl Austin sold 130,000 shares (plus 25,992 shares via C4M3 LLC) at approximately $771/share — the largest insider sale in the post-earnings window. This was </w:t>
      </w:r>
      <w:r>
        <w:rPr>
          <w:rFonts w:ascii="Calibri" w:hAnsi="Calibri"/>
          <w:b/>
          <w:color w:val="525866"/>
          <w:sz w:val="22"/>
        </w:rPr>
        <w:t>not a 10b5-1 plan sale</w:t>
      </w:r>
      <w:r>
        <w:rPr>
          <w:rFonts w:ascii="Calibri" w:hAnsi="Calibri"/>
          <w:color w:val="525866"/>
          <w:sz w:val="22"/>
        </w:rPr>
        <w:t>. The stock peaked around this time (~$785) and has declined ~27% since. Implication: warrants monitoring but does not change the fundamental thesis.</w:t>
      </w:r>
    </w:p>
    <w:p>
      <w:pPr>
        <w:pStyle w:val="ListBullet"/>
        <w:ind w:left="360" w:hanging="360"/>
      </w:pPr>
      <w:r>
        <w:rPr>
          <w:rFonts w:ascii="Calibri" w:hAnsi="Calibri"/>
          <w:b/>
          <w:color w:val="525866"/>
          <w:sz w:val="22"/>
        </w:rPr>
        <w:t xml:space="preserve">Peer Read-Through — FIX (July 24, 2026): </w:t>
      </w:r>
      <w:r>
        <w:rPr>
          <w:rFonts w:ascii="Calibri" w:hAnsi="Calibri"/>
          <w:color w:val="525866"/>
          <w:sz w:val="22"/>
        </w:rPr>
        <w:t xml:space="preserve">Comfort Systems USA reported a blowout Q2 2026 — revenue exceeded $3B for the first time (+51% YoY), EPS +92% YoY, backlog hit a record $14.1B (+73% YoY same-store). Technology sector demand described as showing “no letdown whatsoever.” </w:t>
      </w:r>
      <w:r>
        <w:rPr>
          <w:rFonts w:ascii="Calibri" w:hAnsi="Calibri"/>
          <w:b/>
          <w:color w:val="30A46C"/>
          <w:sz w:val="22"/>
        </w:rPr>
        <w:t>Highly positive read-through for PWR’s data center and technology infrastructure exposure.</w:t>
      </w:r>
    </w:p>
    <w:p>
      <w:pPr>
        <w:pStyle w:val="ListBullet"/>
        <w:ind w:left="360" w:hanging="360"/>
      </w:pPr>
      <w:r>
        <w:rPr>
          <w:rFonts w:ascii="Calibri" w:hAnsi="Calibri"/>
          <w:b/>
          <w:color w:val="525866"/>
          <w:sz w:val="22"/>
        </w:rPr>
        <w:t xml:space="preserve">Peer Read-Through — MTZ (May 1, 2026): </w:t>
      </w:r>
      <w:r>
        <w:rPr>
          <w:rFonts w:ascii="Calibri" w:hAnsi="Calibri"/>
          <w:color w:val="525866"/>
          <w:sz w:val="22"/>
        </w:rPr>
        <w:t xml:space="preserve">MasTec reported strong Q1 2026 results and raised FY2026 guidance, with Power Delivery backlog hitting a record $6.2B at 1.6x book-to-bill. CEO Jose Mas: “I can’t remember a time where every business was just humming.” </w:t>
      </w:r>
      <w:r>
        <w:rPr>
          <w:rFonts w:ascii="Calibri" w:hAnsi="Calibri"/>
          <w:b/>
          <w:color w:val="30A46C"/>
          <w:sz w:val="22"/>
        </w:rPr>
        <w:t>Positive read-through for PWR’s Electric segment.</w:t>
      </w:r>
    </w:p>
    <w:p>
      <w:pPr>
        <w:pStyle w:val="ListBullet"/>
        <w:ind w:left="360" w:hanging="360"/>
      </w:pPr>
      <w:r>
        <w:rPr>
          <w:rFonts w:ascii="Calibri" w:hAnsi="Calibri"/>
          <w:b/>
          <w:color w:val="525866"/>
          <w:sz w:val="22"/>
        </w:rPr>
        <w:t xml:space="preserve">Peer Read-Through — STRL (May 5, 2026): </w:t>
      </w:r>
      <w:r>
        <w:rPr>
          <w:rFonts w:ascii="Calibri" w:hAnsi="Calibri"/>
          <w:color w:val="525866"/>
          <w:sz w:val="22"/>
        </w:rPr>
        <w:t xml:space="preserve">Sterling Infrastructure reported Q1 2026 revenue +92% YoY and raised FY2026 guidance substantially, with E-Infrastructure (data center) revenue +174% YoY. Data center demand described as “unprecedented.” </w:t>
      </w:r>
      <w:r>
        <w:rPr>
          <w:rFonts w:ascii="Calibri" w:hAnsi="Calibri"/>
          <w:b/>
          <w:color w:val="30A46C"/>
          <w:sz w:val="22"/>
        </w:rPr>
        <w:t>Positive read-through for PWR’s technology/data center exposure.</w:t>
      </w:r>
    </w:p>
    <w:p>
      <w:pPr>
        <w:pStyle w:val="ListBullet"/>
        <w:ind w:left="360" w:hanging="360"/>
      </w:pPr>
      <w:r>
        <w:rPr>
          <w:rFonts w:ascii="Calibri" w:hAnsi="Calibri"/>
          <w:b/>
          <w:color w:val="525866"/>
          <w:sz w:val="22"/>
        </w:rPr>
        <w:t xml:space="preserve">Peer Read-Through — DY (May 27, 2026): </w:t>
      </w:r>
      <w:r>
        <w:rPr>
          <w:rFonts w:ascii="Calibri" w:hAnsi="Calibri"/>
          <w:color w:val="525866"/>
          <w:sz w:val="22"/>
        </w:rPr>
        <w:t xml:space="preserve">Dycom Industries reported record backlog of $11.9B (+25% sequentially, 2.2x book-to-bill). Power Solutions delivered $395M revenue at 17.7% EBITDA margin. Fiber and data center connectivity demand described as “stronger today than we have ever seen.” </w:t>
      </w:r>
      <w:r>
        <w:rPr>
          <w:rFonts w:ascii="Calibri" w:hAnsi="Calibri"/>
          <w:b/>
          <w:color w:val="30A46C"/>
          <w:sz w:val="22"/>
        </w:rPr>
        <w:t>Positive read-through for PWR’s communications and data center work.</w:t>
      </w:r>
    </w:p>
    <w:p>
      <w:pPr>
        <w:pStyle w:val="ListBullet"/>
        <w:ind w:left="360" w:hanging="360"/>
      </w:pPr>
      <w:r>
        <w:rPr>
          <w:rFonts w:ascii="Calibri" w:hAnsi="Calibri"/>
          <w:b/>
          <w:color w:val="525866"/>
          <w:sz w:val="22"/>
        </w:rPr>
        <w:t xml:space="preserve">Structural Demand Tailwinds: </w:t>
      </w:r>
      <w:r>
        <w:rPr>
          <w:rFonts w:ascii="Calibri" w:hAnsi="Calibri"/>
          <w:color w:val="525866"/>
          <w:sz w:val="22"/>
        </w:rPr>
        <w:t>MasTec’s May 12 Investor Day projected a $1 trillion 5-year TAM for power delivery infrastructure, with 75% flowing to work MasTec and PWR specialize in. AI-driven data center demand could drive up to 12% of total U.S. electricity consumption by end of decade. These macro tailwinds are directly supportive of PWR’s multi-year backlog growth thesis.</w:t>
      </w:r>
    </w:p>
    <w:p>
      <w:r>
        <w:br w:type="page"/>
      </w:r>
    </w:p>
    <w:p>
      <w:pPr>
        <w:pStyle w:val="Heading2"/>
      </w:pPr>
      <w:r>
        <w:rPr>
          <w:rFonts w:ascii="Calibri" w:hAnsi="Calibri"/>
          <w:b/>
          <w:color w:val="3B4259"/>
          <w:sz w:val="28"/>
        </w:rPr>
        <w:t>Peer Commentaries — Read-Through for Q2 2026</w:t>
      </w:r>
    </w:p>
    <w:p>
      <w:r>
        <w:rPr>
          <w:rFonts w:ascii="Calibri" w:hAnsi="Calibri"/>
          <w:b/>
          <w:color w:val="525866"/>
          <w:sz w:val="22"/>
        </w:rPr>
        <w:t xml:space="preserve">Key Takeaway: </w:t>
      </w:r>
      <w:r>
        <w:rPr>
          <w:rFonts w:ascii="Calibri" w:hAnsi="Calibri"/>
          <w:color w:val="525866"/>
          <w:sz w:val="22"/>
        </w:rPr>
        <w:t xml:space="preserve">Every major peer that has reported since PWR’s Q1 earnings has described demand as at or above prior expectations — the infrastructure cycle is </w:t>
      </w:r>
      <w:r>
        <w:rPr>
          <w:rFonts w:ascii="Calibri" w:hAnsi="Calibri"/>
          <w:b/>
          <w:color w:val="525866"/>
          <w:sz w:val="22"/>
        </w:rPr>
        <w:t>accelerating, not decelerating</w:t>
      </w:r>
      <w:r>
        <w:rPr>
          <w:rFonts w:ascii="Calibri" w:hAnsi="Calibri"/>
          <w:color w:val="525866"/>
          <w:sz w:val="22"/>
        </w:rPr>
        <w:t>, and the read-through for PWR’s Q2 is unambiguously positive.</w:t>
      </w:r>
    </w:p>
    <w:p>
      <w:pPr>
        <w:pStyle w:val="Heading3"/>
      </w:pPr>
      <w:r>
        <w:rPr>
          <w:rFonts w:ascii="Calibri" w:hAnsi="Calibri"/>
          <w:b/>
          <w:color w:val="3B4259"/>
          <w:sz w:val="24"/>
        </w:rPr>
        <w:t>Comfort Systems USA (FIX) — Q2 2026 Earnings (July 24, 2026)</w:t>
      </w:r>
    </w:p>
    <w:p>
      <w:r>
        <w:rPr>
          <w:rFonts w:ascii="Calibri" w:hAnsi="Calibri"/>
          <w:b/>
          <w:color w:val="525866"/>
          <w:sz w:val="22"/>
        </w:rPr>
        <w:t xml:space="preserve">[MOST RELEVANT — SAME QUARTER] </w:t>
      </w:r>
      <w:r>
        <w:rPr>
          <w:rFonts w:ascii="Calibri" w:hAnsi="Calibri"/>
          <w:color w:val="525866"/>
          <w:sz w:val="22"/>
        </w:rPr>
        <w:t>FIX reported Q2 2026 results on July 24, making it the most timely and directly relevant read-through for PWR’s Q2.</w:t>
      </w:r>
    </w:p>
    <w:p>
      <w:pPr>
        <w:pStyle w:val="ListBullet"/>
        <w:ind w:left="360" w:hanging="360"/>
      </w:pPr>
      <w:r>
        <w:rPr>
          <w:rFonts w:ascii="Calibri" w:hAnsi="Calibri"/>
          <w:color w:val="525866"/>
          <w:sz w:val="22"/>
        </w:rPr>
        <w:t>Revenue exceeded $3B for the first time, reaching $3.3B (+51% YoY). EBITDA +80% to $600M. EPS +92% YoY. Free cash flow of $999M in Q2.</w:t>
      </w:r>
    </w:p>
    <w:p>
      <w:pPr>
        <w:pStyle w:val="ListBullet"/>
        <w:ind w:left="360" w:hanging="360"/>
      </w:pPr>
      <w:r>
        <w:rPr>
          <w:rFonts w:ascii="Calibri" w:hAnsi="Calibri"/>
          <w:color w:val="525866"/>
          <w:sz w:val="22"/>
        </w:rPr>
        <w:t>Backlog hit a record $14.1B, up $5.9B or 73% YoY same-store, and up $1.6B or 13% sequentially. Entered Q3 with same-store backlog 69% higher than prior year.</w:t>
      </w:r>
    </w:p>
    <w:p>
      <w:pPr>
        <w:pStyle w:val="ListBullet"/>
        <w:ind w:left="360" w:hanging="360"/>
      </w:pPr>
      <w:r>
        <w:rPr>
          <w:rFonts w:ascii="Calibri" w:hAnsi="Calibri"/>
          <w:color w:val="525866"/>
          <w:sz w:val="22"/>
        </w:rPr>
        <w:t>Technology sector represented 58% of revenue (up from 40% prior year). Q2 bookings “especially strong in the technology sector.”</w:t>
      </w:r>
    </w:p>
    <w:p>
      <w:pPr>
        <w:pStyle w:val="ListBullet"/>
        <w:ind w:left="360" w:hanging="360"/>
      </w:pPr>
      <w:r>
        <w:rPr>
          <w:rFonts w:ascii="Calibri" w:hAnsi="Calibri"/>
          <w:color w:val="525866"/>
          <w:sz w:val="22"/>
        </w:rPr>
        <w:t>Management described “</w:t>
      </w:r>
      <w:r>
        <w:rPr>
          <w:rFonts w:ascii="Calibri" w:hAnsi="Calibri"/>
          <w:b/>
          <w:color w:val="525866"/>
          <w:sz w:val="22"/>
        </w:rPr>
        <w:t>no letdown whatsoever</w:t>
      </w:r>
      <w:r>
        <w:rPr>
          <w:rFonts w:ascii="Calibri" w:hAnsi="Calibri"/>
          <w:color w:val="525866"/>
          <w:sz w:val="22"/>
        </w:rPr>
        <w:t>” in data center demand. Hyperscalers providing “deep and calm certainty” that they will continue to build.</w:t>
      </w:r>
    </w:p>
    <w:p>
      <w:pPr>
        <w:pStyle w:val="ListBullet"/>
        <w:ind w:left="360" w:hanging="360"/>
      </w:pPr>
      <w:r>
        <w:rPr>
          <w:rFonts w:ascii="Calibri" w:hAnsi="Calibri"/>
          <w:color w:val="525866"/>
          <w:sz w:val="22"/>
        </w:rPr>
        <w:t>Modular operations growing rapidly — $510M of modular bookings in Q2, capacity expanding to 4M+ sq ft by year-end and ~5M sq ft by late summer 2027.</w:t>
      </w:r>
    </w:p>
    <w:p>
      <w:pPr>
        <w:pStyle w:val="ListBullet"/>
        <w:ind w:left="360" w:hanging="360"/>
      </w:pPr>
      <w:r>
        <w:rPr>
          <w:rFonts w:ascii="Calibri" w:hAnsi="Calibri"/>
          <w:color w:val="525866"/>
          <w:sz w:val="22"/>
        </w:rPr>
        <w:t>Full-year 2026 same-store revenue growth expected in “mid to high 30% range.” Expects “strong, strong results for the rest of 2026 and continuing success into 2027.”</w:t>
      </w:r>
    </w:p>
    <w:p>
      <w:pPr>
        <w:pStyle w:val="ListBullet"/>
        <w:ind w:left="360" w:hanging="360"/>
      </w:pPr>
      <w:r>
        <w:rPr>
          <w:rFonts w:ascii="Calibri" w:hAnsi="Calibri"/>
          <w:color w:val="525866"/>
          <w:sz w:val="22"/>
        </w:rPr>
        <w:t>Gross margin expanded to 25.9% (from 23.5% in Q2 2025). Operating income +86% to $558M (17.1% margin vs. 13.8% prior year).</w:t>
      </w:r>
    </w:p>
    <w:p>
      <w:pPr>
        <w:pStyle w:val="ListBullet"/>
        <w:ind w:left="360" w:hanging="360"/>
      </w:pPr>
      <w:r>
        <w:rPr>
          <w:rFonts w:ascii="Calibri" w:hAnsi="Calibri"/>
          <w:b/>
          <w:color w:val="525866"/>
          <w:sz w:val="22"/>
        </w:rPr>
        <w:t xml:space="preserve">PWR Read-Through: </w:t>
      </w:r>
      <w:r>
        <w:rPr>
          <w:rFonts w:ascii="Calibri" w:hAnsi="Calibri"/>
          <w:b/>
          <w:color w:val="30A46C"/>
          <w:sz w:val="22"/>
        </w:rPr>
        <w:t>Directly positive for PWR’s technology/data center and MEP platform. FIX’s blowout Q2 confirms the data center construction cycle is accelerating into Q2 2026. PWR’s technology and large load center revenue growth outlook (raised to 110% at Q1 earnings) appears well-supported.</w:t>
      </w:r>
    </w:p>
    <w:p>
      <w:pPr>
        <w:pStyle w:val="Heading3"/>
      </w:pPr>
      <w:r>
        <w:rPr>
          <w:rFonts w:ascii="Calibri" w:hAnsi="Calibri"/>
          <w:b/>
          <w:color w:val="3B4259"/>
          <w:sz w:val="24"/>
        </w:rPr>
        <w:t>MasTec (MTZ) — Q1 2026 Earnings (May 1, 2026) + Investor Day (May 12, 2026)</w:t>
      </w:r>
    </w:p>
    <w:p>
      <w:pPr>
        <w:pStyle w:val="ListBullet"/>
        <w:ind w:left="360" w:hanging="360"/>
      </w:pPr>
      <w:r>
        <w:rPr>
          <w:rFonts w:ascii="Calibri" w:hAnsi="Calibri"/>
          <w:color w:val="525866"/>
          <w:sz w:val="22"/>
        </w:rPr>
        <w:t>Power Delivery backlog hit a record $6.2B with a 1.6x book-to-bill in Q1 — “broad-based, no major projects kind of pushed that way.” Expects 60–70bps of margin expansion in Power Delivery for Q2 specifically.</w:t>
      </w:r>
    </w:p>
    <w:p>
      <w:pPr>
        <w:pStyle w:val="ListBullet"/>
        <w:ind w:left="360" w:hanging="360"/>
      </w:pPr>
      <w:r>
        <w:rPr>
          <w:rFonts w:ascii="Calibri" w:hAnsi="Calibri"/>
          <w:color w:val="525866"/>
          <w:sz w:val="22"/>
        </w:rPr>
        <w:t>Raised FY2026 guidance: revenue to $17.5B (+22% YoY), EBITDA to $1.5B, EPS to $8.79 (+35% YoY).</w:t>
      </w:r>
    </w:p>
    <w:p>
      <w:pPr>
        <w:pStyle w:val="ListBullet"/>
        <w:ind w:left="360" w:hanging="360"/>
      </w:pPr>
      <w:r>
        <w:rPr>
          <w:rFonts w:ascii="Calibri" w:hAnsi="Calibri"/>
          <w:color w:val="525866"/>
          <w:sz w:val="22"/>
        </w:rPr>
        <w:t>CEO Jose Mas: “</w:t>
      </w:r>
      <w:r>
        <w:rPr>
          <w:rFonts w:ascii="Calibri" w:hAnsi="Calibri"/>
          <w:i/>
          <w:color w:val="525866"/>
          <w:sz w:val="22"/>
        </w:rPr>
        <w:t>I can’t remember a time where every business was just humming, right, where everything just had great opportunities in front of it, where we see backlog growing across the board, where we see momentum actually increasing.</w:t>
      </w:r>
      <w:r>
        <w:rPr>
          <w:rFonts w:ascii="Calibri" w:hAnsi="Calibri"/>
          <w:color w:val="525866"/>
          <w:sz w:val="22"/>
        </w:rPr>
        <w:t>”</w:t>
      </w:r>
    </w:p>
    <w:p>
      <w:pPr>
        <w:pStyle w:val="ListBullet"/>
        <w:ind w:left="360" w:hanging="360"/>
      </w:pPr>
      <w:r>
        <w:rPr>
          <w:rFonts w:ascii="Calibri" w:hAnsi="Calibri"/>
          <w:color w:val="525866"/>
          <w:sz w:val="22"/>
        </w:rPr>
        <w:t>Renewables backlog extended to 11 consecutive quarters of growth. Data center connectivity TAM described as “tens of billions of dollars” and “just starting.”</w:t>
      </w:r>
    </w:p>
    <w:p>
      <w:pPr>
        <w:pStyle w:val="ListBullet"/>
        <w:ind w:left="360" w:hanging="360"/>
      </w:pPr>
      <w:r>
        <w:rPr>
          <w:rFonts w:ascii="Calibri" w:hAnsi="Calibri"/>
          <w:color w:val="525866"/>
          <w:sz w:val="22"/>
        </w:rPr>
        <w:t>Investor Day: Projected $1 trillion 5-year TAM for power delivery, with 75% flowing to MTZ/PWR-type work. Power Delivery grew from ~$600M revenue in 2021 to ~$5B in 2026 (10% organic CAGR). Targets at least 10% EBITDA on $22B revenue by 2028.</w:t>
      </w:r>
    </w:p>
    <w:p>
      <w:pPr>
        <w:pStyle w:val="ListBullet"/>
        <w:ind w:left="360" w:hanging="360"/>
      </w:pPr>
      <w:r>
        <w:rPr>
          <w:rFonts w:ascii="Calibri" w:hAnsi="Calibri"/>
          <w:b/>
          <w:color w:val="525866"/>
          <w:sz w:val="22"/>
        </w:rPr>
        <w:t xml:space="preserve">PWR Read-Through: </w:t>
      </w:r>
      <w:r>
        <w:rPr>
          <w:rFonts w:ascii="Calibri" w:hAnsi="Calibri"/>
          <w:b/>
          <w:color w:val="30A46C"/>
          <w:sz w:val="22"/>
        </w:rPr>
        <w:t>Strongly positive for PWR’s Electric segment. MTZ’s Power Delivery record backlog and margin expansion trajectory directly validates PWR’s own backlog growth and margin improvement narrative. The Investor Day’s $1T TAM framing reinforces the multi-year demand visibility PWR management has articulated.</w:t>
      </w:r>
    </w:p>
    <w:p>
      <w:pPr>
        <w:pStyle w:val="Heading3"/>
      </w:pPr>
      <w:r>
        <w:rPr>
          <w:rFonts w:ascii="Calibri" w:hAnsi="Calibri"/>
          <w:b/>
          <w:color w:val="3B4259"/>
          <w:sz w:val="24"/>
        </w:rPr>
        <w:t>Sterling Infrastructure (STRL) — Q1 2026 Earnings (May 5, 2026)</w:t>
      </w:r>
    </w:p>
    <w:p>
      <w:pPr>
        <w:pStyle w:val="ListBullet"/>
        <w:ind w:left="360" w:hanging="360"/>
      </w:pPr>
      <w:r>
        <w:rPr>
          <w:rFonts w:ascii="Calibri" w:hAnsi="Calibri"/>
          <w:color w:val="525866"/>
          <w:sz w:val="22"/>
        </w:rPr>
        <w:t>E-Infrastructure revenue +174% YoY (organic +100%+). Data center market was “again the primary growth driver.” Anticipates “current strength in data center demand will continue for the foreseeable future.”</w:t>
      </w:r>
    </w:p>
    <w:p>
      <w:pPr>
        <w:pStyle w:val="ListBullet"/>
        <w:ind w:left="360" w:hanging="360"/>
      </w:pPr>
      <w:r>
        <w:rPr>
          <w:rFonts w:ascii="Calibri" w:hAnsi="Calibri"/>
          <w:color w:val="525866"/>
          <w:sz w:val="22"/>
        </w:rPr>
        <w:t>Raised FY2026 guidance: revenue to $3.7B–$3.8B (midpoint +20% vs. prior guide, +50%+ vs. 2025). Adjusted EPS midpoint +36% vs. prior guide.</w:t>
      </w:r>
    </w:p>
    <w:p>
      <w:pPr>
        <w:pStyle w:val="ListBullet"/>
        <w:ind w:left="360" w:hanging="360"/>
      </w:pPr>
      <w:r>
        <w:rPr>
          <w:rFonts w:ascii="Calibri" w:hAnsi="Calibri"/>
          <w:color w:val="525866"/>
          <w:sz w:val="22"/>
        </w:rPr>
        <w:t>Being pulled into new geographies (Texas, Pacific Northwest, Midwest) with urgency. Texas market “exceptionally strong with robust award activity in early 2026.”</w:t>
      </w:r>
    </w:p>
    <w:p>
      <w:pPr>
        <w:pStyle w:val="ListBullet"/>
        <w:ind w:left="360" w:hanging="360"/>
      </w:pPr>
      <w:r>
        <w:rPr>
          <w:rFonts w:ascii="Calibri" w:hAnsi="Calibri"/>
          <w:color w:val="525866"/>
          <w:sz w:val="22"/>
        </w:rPr>
        <w:t>CEO: “</w:t>
      </w:r>
      <w:r>
        <w:rPr>
          <w:rFonts w:ascii="Calibri" w:hAnsi="Calibri"/>
          <w:i/>
          <w:color w:val="525866"/>
          <w:sz w:val="22"/>
        </w:rPr>
        <w:t>Our outlook is stronger than ever and continues to surpass our expectations.</w:t>
      </w:r>
      <w:r>
        <w:rPr>
          <w:rFonts w:ascii="Calibri" w:hAnsi="Calibri"/>
          <w:color w:val="525866"/>
          <w:sz w:val="22"/>
        </w:rPr>
        <w:t>” Customers requesting larger, more complex, longer-duration projects.</w:t>
      </w:r>
    </w:p>
    <w:p>
      <w:pPr>
        <w:pStyle w:val="ListBullet"/>
        <w:ind w:left="360" w:hanging="360"/>
      </w:pPr>
      <w:r>
        <w:rPr>
          <w:rFonts w:ascii="Calibri" w:hAnsi="Calibri"/>
          <w:color w:val="525866"/>
          <w:sz w:val="22"/>
        </w:rPr>
        <w:t>Combined backlog grew 131% to $5.2B. Book-to-burn ratio of 2.1x for backlog and 3.5x for combined backlog in Q1. E-Infrastructure margins expected in mid-20% range for FY2026.</w:t>
      </w:r>
    </w:p>
    <w:p>
      <w:pPr>
        <w:pStyle w:val="ListBullet"/>
        <w:ind w:left="360" w:hanging="360"/>
      </w:pPr>
      <w:r>
        <w:rPr>
          <w:rFonts w:ascii="Calibri" w:hAnsi="Calibri"/>
          <w:b/>
          <w:color w:val="525866"/>
          <w:sz w:val="22"/>
        </w:rPr>
        <w:t xml:space="preserve">PWR Read-Through: </w:t>
      </w:r>
      <w:r>
        <w:rPr>
          <w:rFonts w:ascii="Calibri" w:hAnsi="Calibri"/>
          <w:b/>
          <w:color w:val="30A46C"/>
          <w:sz w:val="22"/>
        </w:rPr>
        <w:t>Positive for PWR’s technology/data center exposure. STRL’s data center demand commentary (unprecedented, pulling into new geographies, customers requesting larger/longer projects) is consistent with PWR’s own technology and large load center outlook.</w:t>
      </w:r>
    </w:p>
    <w:p>
      <w:pPr>
        <w:pStyle w:val="Heading3"/>
      </w:pPr>
      <w:r>
        <w:rPr>
          <w:rFonts w:ascii="Calibri" w:hAnsi="Calibri"/>
          <w:b/>
          <w:color w:val="3B4259"/>
          <w:sz w:val="24"/>
        </w:rPr>
        <w:t>Dycom Industries (DY) — Fiscal Q1 2027 Earnings (May 27, 2026)</w:t>
      </w:r>
    </w:p>
    <w:p>
      <w:pPr>
        <w:pStyle w:val="ListBullet"/>
        <w:ind w:left="360" w:hanging="360"/>
      </w:pPr>
      <w:r>
        <w:rPr>
          <w:rFonts w:ascii="Calibri" w:hAnsi="Calibri"/>
          <w:color w:val="525866"/>
          <w:sz w:val="22"/>
        </w:rPr>
        <w:t>Record total backlog of $11.9B, +25% sequentially, 2.2x book-to-bill. “Momentum behind fiber deployments and data center builds is stronger today than we have ever seen.”</w:t>
      </w:r>
    </w:p>
    <w:p>
      <w:pPr>
        <w:pStyle w:val="ListBullet"/>
        <w:ind w:left="360" w:hanging="360"/>
      </w:pPr>
      <w:r>
        <w:rPr>
          <w:rFonts w:ascii="Calibri" w:hAnsi="Calibri"/>
          <w:color w:val="525866"/>
          <w:sz w:val="22"/>
        </w:rPr>
        <w:t>Power Solutions (Building Systems segment) delivered $395M revenue at 17.7% EBITDA margin — “eclipsed expectations right out of the gate.”</w:t>
      </w:r>
    </w:p>
    <w:p>
      <w:pPr>
        <w:pStyle w:val="ListBullet"/>
        <w:ind w:left="360" w:hanging="360"/>
      </w:pPr>
      <w:r>
        <w:rPr>
          <w:rFonts w:ascii="Calibri" w:hAnsi="Calibri"/>
          <w:color w:val="525866"/>
          <w:sz w:val="22"/>
        </w:rPr>
        <w:t>Announced acquisition of National Technology Integrators (NTI), specializing in inside-plant structured cabling for data centers — described as a “critical step” to offer complete fiber infrastructure.</w:t>
      </w:r>
    </w:p>
    <w:p>
      <w:pPr>
        <w:pStyle w:val="ListBullet"/>
        <w:ind w:left="360" w:hanging="360"/>
      </w:pPr>
      <w:r>
        <w:rPr>
          <w:rFonts w:ascii="Calibri" w:hAnsi="Calibri"/>
          <w:color w:val="525866"/>
          <w:sz w:val="22"/>
        </w:rPr>
        <w:t>Data center demand on the local loop: “</w:t>
      </w:r>
      <w:r>
        <w:rPr>
          <w:rFonts w:ascii="Calibri" w:hAnsi="Calibri"/>
          <w:i/>
          <w:color w:val="525866"/>
          <w:sz w:val="22"/>
        </w:rPr>
        <w:t>has not abated whatsoever. In fact, it’s only increasing.</w:t>
      </w:r>
      <w:r>
        <w:rPr>
          <w:rFonts w:ascii="Calibri" w:hAnsi="Calibri"/>
          <w:color w:val="525866"/>
          <w:sz w:val="22"/>
        </w:rPr>
        <w:t>” Long-haul/middle-mile fiber builds still in “early innings” with significant ramp expected in calendar 2027–2028.</w:t>
      </w:r>
    </w:p>
    <w:p>
      <w:pPr>
        <w:pStyle w:val="ListBullet"/>
        <w:ind w:left="360" w:hanging="360"/>
      </w:pPr>
      <w:r>
        <w:rPr>
          <w:rFonts w:ascii="Calibri" w:hAnsi="Calibri"/>
          <w:color w:val="525866"/>
          <w:sz w:val="22"/>
        </w:rPr>
        <w:t>BEAD program progressing through state pipelines — potential uplift for H2 2026 and 2027. Not included in current outlook; considered “potential uplift.”</w:t>
      </w:r>
    </w:p>
    <w:p>
      <w:pPr>
        <w:pStyle w:val="ListBullet"/>
        <w:ind w:left="360" w:hanging="360"/>
      </w:pPr>
      <w:r>
        <w:rPr>
          <w:rFonts w:ascii="Calibri" w:hAnsi="Calibri"/>
          <w:b/>
          <w:color w:val="525866"/>
          <w:sz w:val="22"/>
        </w:rPr>
        <w:t xml:space="preserve">PWR Read-Through: </w:t>
      </w:r>
      <w:r>
        <w:rPr>
          <w:rFonts w:ascii="Calibri" w:hAnsi="Calibri"/>
          <w:b/>
          <w:color w:val="30A46C"/>
          <w:sz w:val="22"/>
        </w:rPr>
        <w:t>Positive for PWR’s communications and data center connectivity work. DY’s record backlog and accelerating data center demand commentary supports PWR’s own technology/data center growth narrative. The BEAD program commentary is a potential incremental positive for PWR’s telecom segment.</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Peer</w:t>
            </w:r>
          </w:p>
        </w:tc>
        <w:tc>
          <w:tcPr>
            <w:tcW w:type="dxa" w:w="1728"/>
          </w:tcPr>
          <w:p>
            <w:r>
              <w:rPr>
                <w:rFonts w:ascii="Calibri" w:hAnsi="Calibri"/>
                <w:b/>
                <w:sz w:val="22"/>
              </w:rPr>
              <w:t>Report Date</w:t>
            </w:r>
          </w:p>
        </w:tc>
        <w:tc>
          <w:tcPr>
            <w:tcW w:type="dxa" w:w="1728"/>
          </w:tcPr>
          <w:p>
            <w:r>
              <w:rPr>
                <w:rFonts w:ascii="Calibri" w:hAnsi="Calibri"/>
                <w:b/>
                <w:sz w:val="22"/>
              </w:rPr>
              <w:t>Key Signal</w:t>
            </w:r>
          </w:p>
        </w:tc>
        <w:tc>
          <w:tcPr>
            <w:tcW w:type="dxa" w:w="1728"/>
          </w:tcPr>
          <w:p>
            <w:r>
              <w:rPr>
                <w:rFonts w:ascii="Calibri" w:hAnsi="Calibri"/>
                <w:b/>
                <w:sz w:val="22"/>
              </w:rPr>
              <w:t>PWR Read-Through</w:t>
            </w:r>
          </w:p>
        </w:tc>
        <w:tc>
          <w:tcPr>
            <w:tcW w:type="dxa" w:w="1728"/>
          </w:tcPr>
          <w:p>
            <w:r>
              <w:rPr>
                <w:rFonts w:ascii="Calibri" w:hAnsi="Calibri"/>
                <w:b/>
                <w:sz w:val="22"/>
              </w:rPr>
              <w:t>Direction</w:t>
            </w:r>
          </w:p>
        </w:tc>
      </w:tr>
      <w:tr>
        <w:tc>
          <w:tcPr>
            <w:tcW w:type="dxa" w:w="1728"/>
          </w:tcPr>
          <w:p>
            <w:r>
              <w:rPr>
                <w:rFonts w:ascii="Calibri" w:hAnsi="Calibri"/>
                <w:sz w:val="22"/>
              </w:rPr>
              <w:t>FIX</w:t>
            </w:r>
          </w:p>
        </w:tc>
        <w:tc>
          <w:tcPr>
            <w:tcW w:type="dxa" w:w="1728"/>
          </w:tcPr>
          <w:p>
            <w:r>
              <w:rPr>
                <w:rFonts w:ascii="Calibri" w:hAnsi="Calibri"/>
                <w:sz w:val="22"/>
              </w:rPr>
              <w:t>Jul 24, 2026 (Q2 2026)</w:t>
            </w:r>
          </w:p>
        </w:tc>
        <w:tc>
          <w:tcPr>
            <w:tcW w:type="dxa" w:w="1728"/>
          </w:tcPr>
          <w:p>
            <w:r>
              <w:rPr>
                <w:rFonts w:ascii="Calibri" w:hAnsi="Calibri"/>
                <w:sz w:val="22"/>
              </w:rPr>
              <w:t>Revenue +51% YoY; backlog +73% YoY; “no letdown” in data center demand</w:t>
            </w:r>
          </w:p>
        </w:tc>
        <w:tc>
          <w:tcPr>
            <w:tcW w:type="dxa" w:w="1728"/>
          </w:tcPr>
          <w:p>
            <w:r>
              <w:rPr>
                <w:rFonts w:ascii="Calibri" w:hAnsi="Calibri"/>
                <w:sz w:val="22"/>
              </w:rPr>
              <w:t>Technology/data center, MEP platform</w:t>
            </w:r>
          </w:p>
        </w:tc>
        <w:tc>
          <w:tcPr>
            <w:tcW w:type="dxa" w:w="1728"/>
          </w:tcPr>
          <w:p>
            <w:r>
              <w:rPr>
                <w:rFonts w:ascii="Calibri" w:hAnsi="Calibri"/>
                <w:b/>
                <w:color w:val="30A46C"/>
                <w:sz w:val="22"/>
              </w:rPr>
              <w:t>Strongly Positive</w:t>
            </w:r>
          </w:p>
        </w:tc>
      </w:tr>
      <w:tr>
        <w:tc>
          <w:tcPr>
            <w:tcW w:type="dxa" w:w="1728"/>
          </w:tcPr>
          <w:p>
            <w:r>
              <w:rPr>
                <w:rFonts w:ascii="Calibri" w:hAnsi="Calibri"/>
                <w:sz w:val="22"/>
              </w:rPr>
              <w:t>MTZ</w:t>
            </w:r>
          </w:p>
        </w:tc>
        <w:tc>
          <w:tcPr>
            <w:tcW w:type="dxa" w:w="1728"/>
          </w:tcPr>
          <w:p>
            <w:r>
              <w:rPr>
                <w:rFonts w:ascii="Calibri" w:hAnsi="Calibri"/>
                <w:sz w:val="22"/>
              </w:rPr>
              <w:t>May 1, 2026 (Q1 2026)</w:t>
            </w:r>
          </w:p>
        </w:tc>
        <w:tc>
          <w:tcPr>
            <w:tcW w:type="dxa" w:w="1728"/>
          </w:tcPr>
          <w:p>
            <w:r>
              <w:rPr>
                <w:rFonts w:ascii="Calibri" w:hAnsi="Calibri"/>
                <w:sz w:val="22"/>
              </w:rPr>
              <w:t>Power Delivery backlog record $6.2B; 1.6x book-to-bill; raised FY guide</w:t>
            </w:r>
          </w:p>
        </w:tc>
        <w:tc>
          <w:tcPr>
            <w:tcW w:type="dxa" w:w="1728"/>
          </w:tcPr>
          <w:p>
            <w:r>
              <w:rPr>
                <w:rFonts w:ascii="Calibri" w:hAnsi="Calibri"/>
                <w:sz w:val="22"/>
              </w:rPr>
              <w:t>Electric segment, grid modernization</w:t>
            </w:r>
          </w:p>
        </w:tc>
        <w:tc>
          <w:tcPr>
            <w:tcW w:type="dxa" w:w="1728"/>
          </w:tcPr>
          <w:p>
            <w:r>
              <w:rPr>
                <w:rFonts w:ascii="Calibri" w:hAnsi="Calibri"/>
                <w:b/>
                <w:color w:val="30A46C"/>
                <w:sz w:val="22"/>
              </w:rPr>
              <w:t>Strongly Positive</w:t>
            </w:r>
          </w:p>
        </w:tc>
      </w:tr>
      <w:tr>
        <w:tc>
          <w:tcPr>
            <w:tcW w:type="dxa" w:w="1728"/>
          </w:tcPr>
          <w:p>
            <w:r>
              <w:rPr>
                <w:rFonts w:ascii="Calibri" w:hAnsi="Calibri"/>
                <w:sz w:val="22"/>
              </w:rPr>
              <w:t>STRL</w:t>
            </w:r>
          </w:p>
        </w:tc>
        <w:tc>
          <w:tcPr>
            <w:tcW w:type="dxa" w:w="1728"/>
          </w:tcPr>
          <w:p>
            <w:r>
              <w:rPr>
                <w:rFonts w:ascii="Calibri" w:hAnsi="Calibri"/>
                <w:sz w:val="22"/>
              </w:rPr>
              <w:t>May 5, 2026 (Q1 2026)</w:t>
            </w:r>
          </w:p>
        </w:tc>
        <w:tc>
          <w:tcPr>
            <w:tcW w:type="dxa" w:w="1728"/>
          </w:tcPr>
          <w:p>
            <w:r>
              <w:rPr>
                <w:rFonts w:ascii="Calibri" w:hAnsi="Calibri"/>
                <w:sz w:val="22"/>
              </w:rPr>
              <w:t>E-Infra revenue +174% YoY; data center demand “unprecedented”; raised FY guide</w:t>
            </w:r>
          </w:p>
        </w:tc>
        <w:tc>
          <w:tcPr>
            <w:tcW w:type="dxa" w:w="1728"/>
          </w:tcPr>
          <w:p>
            <w:r>
              <w:rPr>
                <w:rFonts w:ascii="Calibri" w:hAnsi="Calibri"/>
                <w:sz w:val="22"/>
              </w:rPr>
              <w:t>Technology/data center exposure</w:t>
            </w:r>
          </w:p>
        </w:tc>
        <w:tc>
          <w:tcPr>
            <w:tcW w:type="dxa" w:w="1728"/>
          </w:tcPr>
          <w:p>
            <w:r>
              <w:rPr>
                <w:rFonts w:ascii="Calibri" w:hAnsi="Calibri"/>
                <w:b/>
                <w:color w:val="30A46C"/>
                <w:sz w:val="22"/>
              </w:rPr>
              <w:t>Positive</w:t>
            </w:r>
          </w:p>
        </w:tc>
      </w:tr>
      <w:tr>
        <w:tc>
          <w:tcPr>
            <w:tcW w:type="dxa" w:w="1728"/>
          </w:tcPr>
          <w:p>
            <w:r>
              <w:rPr>
                <w:rFonts w:ascii="Calibri" w:hAnsi="Calibri"/>
                <w:sz w:val="22"/>
              </w:rPr>
              <w:t>DY</w:t>
            </w:r>
          </w:p>
        </w:tc>
        <w:tc>
          <w:tcPr>
            <w:tcW w:type="dxa" w:w="1728"/>
          </w:tcPr>
          <w:p>
            <w:r>
              <w:rPr>
                <w:rFonts w:ascii="Calibri" w:hAnsi="Calibri"/>
                <w:sz w:val="22"/>
              </w:rPr>
              <w:t>May 27, 2026 (FY Q1 2027)</w:t>
            </w:r>
          </w:p>
        </w:tc>
        <w:tc>
          <w:tcPr>
            <w:tcW w:type="dxa" w:w="1728"/>
          </w:tcPr>
          <w:p>
            <w:r>
              <w:rPr>
                <w:rFonts w:ascii="Calibri" w:hAnsi="Calibri"/>
                <w:sz w:val="22"/>
              </w:rPr>
              <w:t>Record backlog $11.9B; 2.2x book-to-bill; data center demand “only increasing”</w:t>
            </w:r>
          </w:p>
        </w:tc>
        <w:tc>
          <w:tcPr>
            <w:tcW w:type="dxa" w:w="1728"/>
          </w:tcPr>
          <w:p>
            <w:r>
              <w:rPr>
                <w:rFonts w:ascii="Calibri" w:hAnsi="Calibri"/>
                <w:sz w:val="22"/>
              </w:rPr>
              <w:t>Communications, data center connectivity</w:t>
            </w:r>
          </w:p>
        </w:tc>
        <w:tc>
          <w:tcPr>
            <w:tcW w:type="dxa" w:w="1728"/>
          </w:tcPr>
          <w:p>
            <w:r>
              <w:rPr>
                <w:rFonts w:ascii="Calibri" w:hAnsi="Calibri"/>
                <w:b/>
                <w:color w:val="30A46C"/>
                <w:sz w:val="22"/>
              </w:rPr>
              <w:t>Positive</w:t>
            </w:r>
          </w:p>
        </w:tc>
      </w:tr>
    </w:tbl>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 xml:space="preserve">The CEO’s open-market sale of ~156,000 shares (~$120M) at ~$771 on May 5 — just 5 days after the Q1 earnings beat — is the most notable signal and warrants attention; </w:t>
      </w:r>
      <w:r>
        <w:rPr>
          <w:rFonts w:ascii="Calibri" w:hAnsi="Calibri"/>
          <w:b/>
          <w:color w:val="525866"/>
          <w:sz w:val="22"/>
        </w:rPr>
        <w:t>it was not a 10b5-1 plan sale</w:t>
      </w:r>
      <w:r>
        <w:rPr>
          <w:rFonts w:ascii="Calibri" w:hAnsi="Calibri"/>
          <w:color w:val="525866"/>
          <w:sz w:val="22"/>
        </w:rPr>
        <w:t>. All other activity is routine director RSU grants and compensation-related.</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Name</w:t>
            </w:r>
          </w:p>
        </w:tc>
        <w:tc>
          <w:tcPr>
            <w:tcW w:type="dxa" w:w="1234"/>
          </w:tcPr>
          <w:p>
            <w:r>
              <w:rPr>
                <w:rFonts w:ascii="Calibri" w:hAnsi="Calibri"/>
                <w:b/>
                <w:sz w:val="22"/>
              </w:rPr>
              <w:t>Title</w:t>
            </w:r>
          </w:p>
        </w:tc>
        <w:tc>
          <w:tcPr>
            <w:tcW w:type="dxa" w:w="1234"/>
          </w:tcPr>
          <w:p>
            <w:r>
              <w:rPr>
                <w:rFonts w:ascii="Calibri" w:hAnsi="Calibri"/>
                <w:b/>
                <w:sz w:val="22"/>
              </w:rPr>
              <w:t>Transaction Type</w:t>
            </w:r>
          </w:p>
        </w:tc>
        <w:tc>
          <w:tcPr>
            <w:tcW w:type="dxa" w:w="1234"/>
          </w:tcPr>
          <w:p>
            <w:r>
              <w:rPr>
                <w:rFonts w:ascii="Calibri" w:hAnsi="Calibri"/>
                <w:b/>
                <w:sz w:val="22"/>
              </w:rPr>
              <w:t>Shares</w:t>
            </w:r>
          </w:p>
        </w:tc>
        <w:tc>
          <w:tcPr>
            <w:tcW w:type="dxa" w:w="1234"/>
          </w:tcPr>
          <w:p>
            <w:r>
              <w:rPr>
                <w:rFonts w:ascii="Calibri" w:hAnsi="Calibri"/>
                <w:b/>
                <w:sz w:val="22"/>
              </w:rPr>
              <w:t>Est. Value</w:t>
            </w:r>
          </w:p>
        </w:tc>
        <w:tc>
          <w:tcPr>
            <w:tcW w:type="dxa" w:w="1234"/>
          </w:tcPr>
          <w:p>
            <w:r>
              <w:rPr>
                <w:rFonts w:ascii="Calibri" w:hAnsi="Calibri"/>
                <w:b/>
                <w:sz w:val="22"/>
              </w:rPr>
              <w:t>Transaction Date</w:t>
            </w:r>
          </w:p>
        </w:tc>
        <w:tc>
          <w:tcPr>
            <w:tcW w:type="dxa" w:w="1234"/>
          </w:tcPr>
          <w:p>
            <w:r>
              <w:rPr>
                <w:rFonts w:ascii="Calibri" w:hAnsi="Calibri"/>
                <w:b/>
                <w:sz w:val="22"/>
              </w:rPr>
              <w:t>Note</w:t>
            </w:r>
          </w:p>
        </w:tc>
      </w:tr>
      <w:tr>
        <w:tc>
          <w:tcPr>
            <w:tcW w:type="dxa" w:w="1234"/>
          </w:tcPr>
          <w:p>
            <w:r>
              <w:rPr>
                <w:rFonts w:ascii="Calibri" w:hAnsi="Calibri"/>
                <w:sz w:val="22"/>
              </w:rPr>
              <w:t>Austin Earl C. Jr.</w:t>
            </w:r>
          </w:p>
        </w:tc>
        <w:tc>
          <w:tcPr>
            <w:tcW w:type="dxa" w:w="1234"/>
          </w:tcPr>
          <w:p>
            <w:r>
              <w:rPr>
                <w:rFonts w:ascii="Calibri" w:hAnsi="Calibri"/>
                <w:sz w:val="22"/>
              </w:rPr>
              <w:t>President &amp; CEO</w:t>
            </w:r>
          </w:p>
        </w:tc>
        <w:tc>
          <w:tcPr>
            <w:tcW w:type="dxa" w:w="1234"/>
          </w:tcPr>
          <w:p>
            <w:r>
              <w:rPr>
                <w:rFonts w:ascii="Calibri" w:hAnsi="Calibri"/>
                <w:b/>
                <w:color w:val="E5484D"/>
                <w:sz w:val="22"/>
              </w:rPr>
              <w:t>Open Market Sale</w:t>
            </w:r>
          </w:p>
        </w:tc>
        <w:tc>
          <w:tcPr>
            <w:tcW w:type="dxa" w:w="1234"/>
          </w:tcPr>
          <w:p>
            <w:r>
              <w:rPr>
                <w:rFonts w:ascii="Calibri" w:hAnsi="Calibri"/>
                <w:sz w:val="22"/>
              </w:rPr>
              <w:t>130,000</w:t>
            </w:r>
          </w:p>
        </w:tc>
        <w:tc>
          <w:tcPr>
            <w:tcW w:type="dxa" w:w="1234"/>
          </w:tcPr>
          <w:p>
            <w:r>
              <w:rPr>
                <w:rFonts w:ascii="Calibri" w:hAnsi="Calibri"/>
                <w:sz w:val="22"/>
              </w:rPr>
              <w:t>~$100.2M</w:t>
            </w:r>
          </w:p>
        </w:tc>
        <w:tc>
          <w:tcPr>
            <w:tcW w:type="dxa" w:w="1234"/>
          </w:tcPr>
          <w:p>
            <w:r>
              <w:rPr>
                <w:rFonts w:ascii="Calibri" w:hAnsi="Calibri"/>
                <w:sz w:val="22"/>
              </w:rPr>
              <w:t>May 5, 2026</w:t>
            </w:r>
          </w:p>
        </w:tc>
        <w:tc>
          <w:tcPr>
            <w:tcW w:type="dxa" w:w="1234"/>
          </w:tcPr>
          <w:p>
            <w:r>
              <w:rPr>
                <w:rFonts w:ascii="Calibri" w:hAnsi="Calibri"/>
                <w:sz w:val="22"/>
              </w:rPr>
              <w:t>Discretionary sale, NOT 10b5-1; filed May 7</w:t>
            </w:r>
          </w:p>
        </w:tc>
      </w:tr>
      <w:tr>
        <w:tc>
          <w:tcPr>
            <w:tcW w:type="dxa" w:w="1234"/>
          </w:tcPr>
          <w:p>
            <w:r>
              <w:rPr>
                <w:rFonts w:ascii="Calibri" w:hAnsi="Calibri"/>
                <w:sz w:val="22"/>
              </w:rPr>
              <w:t>Austin Earl C. Jr.</w:t>
            </w:r>
          </w:p>
        </w:tc>
        <w:tc>
          <w:tcPr>
            <w:tcW w:type="dxa" w:w="1234"/>
          </w:tcPr>
          <w:p>
            <w:r>
              <w:rPr>
                <w:rFonts w:ascii="Calibri" w:hAnsi="Calibri"/>
                <w:sz w:val="22"/>
              </w:rPr>
              <w:t>President &amp; CEO</w:t>
            </w:r>
          </w:p>
        </w:tc>
        <w:tc>
          <w:tcPr>
            <w:tcW w:type="dxa" w:w="1234"/>
          </w:tcPr>
          <w:p>
            <w:r>
              <w:rPr>
                <w:rFonts w:ascii="Calibri" w:hAnsi="Calibri"/>
                <w:b/>
                <w:color w:val="E5484D"/>
                <w:sz w:val="22"/>
              </w:rPr>
              <w:t>Open Market Sale (indirect)</w:t>
            </w:r>
          </w:p>
        </w:tc>
        <w:tc>
          <w:tcPr>
            <w:tcW w:type="dxa" w:w="1234"/>
          </w:tcPr>
          <w:p>
            <w:r>
              <w:rPr>
                <w:rFonts w:ascii="Calibri" w:hAnsi="Calibri"/>
                <w:sz w:val="22"/>
              </w:rPr>
              <w:t>25,992</w:t>
            </w:r>
          </w:p>
        </w:tc>
        <w:tc>
          <w:tcPr>
            <w:tcW w:type="dxa" w:w="1234"/>
          </w:tcPr>
          <w:p>
            <w:r>
              <w:rPr>
                <w:rFonts w:ascii="Calibri" w:hAnsi="Calibri"/>
                <w:sz w:val="22"/>
              </w:rPr>
              <w:t>~$20.0M</w:t>
            </w:r>
          </w:p>
        </w:tc>
        <w:tc>
          <w:tcPr>
            <w:tcW w:type="dxa" w:w="1234"/>
          </w:tcPr>
          <w:p>
            <w:r>
              <w:rPr>
                <w:rFonts w:ascii="Calibri" w:hAnsi="Calibri"/>
                <w:sz w:val="22"/>
              </w:rPr>
              <w:t>May 5, 2026</w:t>
            </w:r>
          </w:p>
        </w:tc>
        <w:tc>
          <w:tcPr>
            <w:tcW w:type="dxa" w:w="1234"/>
          </w:tcPr>
          <w:p>
            <w:r>
              <w:rPr>
                <w:rFonts w:ascii="Calibri" w:hAnsi="Calibri"/>
                <w:sz w:val="22"/>
              </w:rPr>
              <w:t>Via C4M3 LLC; filed May 7</w:t>
            </w:r>
          </w:p>
        </w:tc>
      </w:tr>
      <w:tr>
        <w:tc>
          <w:tcPr>
            <w:tcW w:type="dxa" w:w="1234"/>
          </w:tcPr>
          <w:p>
            <w:r>
              <w:rPr>
                <w:rFonts w:ascii="Calibri" w:hAnsi="Calibri"/>
                <w:sz w:val="22"/>
              </w:rPr>
              <w:t>NOBEL PAUL</w:t>
            </w:r>
          </w:p>
        </w:tc>
        <w:tc>
          <w:tcPr>
            <w:tcW w:type="dxa" w:w="1234"/>
          </w:tcPr>
          <w:p>
            <w:r>
              <w:rPr>
                <w:rFonts w:ascii="Calibri" w:hAnsi="Calibri"/>
                <w:sz w:val="22"/>
              </w:rPr>
              <w:t>Chief Accounting Officer &amp; SVP</w:t>
            </w:r>
          </w:p>
        </w:tc>
        <w:tc>
          <w:tcPr>
            <w:tcW w:type="dxa" w:w="1234"/>
          </w:tcPr>
          <w:p>
            <w:r>
              <w:rPr>
                <w:rFonts w:ascii="Calibri" w:hAnsi="Calibri"/>
                <w:sz w:val="22"/>
              </w:rPr>
              <w:t>Open Market Sale</w:t>
            </w:r>
          </w:p>
        </w:tc>
        <w:tc>
          <w:tcPr>
            <w:tcW w:type="dxa" w:w="1234"/>
          </w:tcPr>
          <w:p>
            <w:r>
              <w:rPr>
                <w:rFonts w:ascii="Calibri" w:hAnsi="Calibri"/>
                <w:sz w:val="22"/>
              </w:rPr>
              <w:t>4,000</w:t>
            </w:r>
          </w:p>
        </w:tc>
        <w:tc>
          <w:tcPr>
            <w:tcW w:type="dxa" w:w="1234"/>
          </w:tcPr>
          <w:p>
            <w:r>
              <w:rPr>
                <w:rFonts w:ascii="Calibri" w:hAnsi="Calibri"/>
                <w:sz w:val="22"/>
              </w:rPr>
              <w:t>~$3.1M</w:t>
            </w:r>
          </w:p>
        </w:tc>
        <w:tc>
          <w:tcPr>
            <w:tcW w:type="dxa" w:w="1234"/>
          </w:tcPr>
          <w:p>
            <w:r>
              <w:rPr>
                <w:rFonts w:ascii="Calibri" w:hAnsi="Calibri"/>
                <w:sz w:val="22"/>
              </w:rPr>
              <w:t>May 4, 2026</w:t>
            </w:r>
          </w:p>
        </w:tc>
        <w:tc>
          <w:tcPr>
            <w:tcW w:type="dxa" w:w="1234"/>
          </w:tcPr>
          <w:p>
            <w:r>
              <w:rPr>
                <w:rFonts w:ascii="Calibri" w:hAnsi="Calibri"/>
                <w:sz w:val="22"/>
              </w:rPr>
              <w:t>Filed May 6</w:t>
            </w:r>
          </w:p>
        </w:tc>
      </w:tr>
      <w:tr>
        <w:tc>
          <w:tcPr>
            <w:tcW w:type="dxa" w:w="1234"/>
          </w:tcPr>
          <w:p>
            <w:r>
              <w:rPr>
                <w:rFonts w:ascii="Calibri" w:hAnsi="Calibri"/>
                <w:sz w:val="22"/>
              </w:rPr>
              <w:t>WYRSCH MARTHA B</w:t>
            </w:r>
          </w:p>
        </w:tc>
        <w:tc>
          <w:tcPr>
            <w:tcW w:type="dxa" w:w="1234"/>
          </w:tcPr>
          <w:p>
            <w:r>
              <w:rPr>
                <w:rFonts w:ascii="Calibri" w:hAnsi="Calibri"/>
                <w:sz w:val="22"/>
              </w:rPr>
              <w:t>Director</w:t>
            </w:r>
          </w:p>
        </w:tc>
        <w:tc>
          <w:tcPr>
            <w:tcW w:type="dxa" w:w="1234"/>
          </w:tcPr>
          <w:p>
            <w:r>
              <w:rPr>
                <w:rFonts w:ascii="Calibri" w:hAnsi="Calibri"/>
                <w:sz w:val="22"/>
              </w:rPr>
              <w:t>Gift / Disposition (Code G)</w:t>
            </w:r>
          </w:p>
        </w:tc>
        <w:tc>
          <w:tcPr>
            <w:tcW w:type="dxa" w:w="1234"/>
          </w:tcPr>
          <w:p>
            <w:r>
              <w:rPr>
                <w:rFonts w:ascii="Calibri" w:hAnsi="Calibri"/>
                <w:sz w:val="22"/>
              </w:rPr>
              <w:t>2,500</w:t>
            </w:r>
          </w:p>
        </w:tc>
        <w:tc>
          <w:tcPr>
            <w:tcW w:type="dxa" w:w="1234"/>
          </w:tcPr>
          <w:p>
            <w:r>
              <w:rPr>
                <w:rFonts w:ascii="Calibri" w:hAnsi="Calibri"/>
                <w:sz w:val="22"/>
              </w:rPr>
              <w:t>N/A</w:t>
            </w:r>
          </w:p>
        </w:tc>
        <w:tc>
          <w:tcPr>
            <w:tcW w:type="dxa" w:w="1234"/>
          </w:tcPr>
          <w:p>
            <w:r>
              <w:rPr>
                <w:rFonts w:ascii="Calibri" w:hAnsi="Calibri"/>
                <w:sz w:val="22"/>
              </w:rPr>
              <w:t>May 11, 2026</w:t>
            </w:r>
          </w:p>
        </w:tc>
        <w:tc>
          <w:tcPr>
            <w:tcW w:type="dxa" w:w="1234"/>
          </w:tcPr>
          <w:p>
            <w:r>
              <w:rPr>
                <w:rFonts w:ascii="Calibri" w:hAnsi="Calibri"/>
                <w:sz w:val="22"/>
              </w:rPr>
              <w:t>Non-market transfer; not a sale</w:t>
            </w:r>
          </w:p>
        </w:tc>
      </w:tr>
      <w:tr>
        <w:tc>
          <w:tcPr>
            <w:tcW w:type="dxa" w:w="1234"/>
          </w:tcPr>
          <w:p>
            <w:r>
              <w:rPr>
                <w:rFonts w:ascii="Calibri" w:hAnsi="Calibri"/>
                <w:sz w:val="22"/>
              </w:rPr>
              <w:t>Multiple Directors</w:t>
            </w:r>
          </w:p>
        </w:tc>
        <w:tc>
          <w:tcPr>
            <w:tcW w:type="dxa" w:w="1234"/>
          </w:tcPr>
          <w:p>
            <w:r>
              <w:rPr>
                <w:rFonts w:ascii="Calibri" w:hAnsi="Calibri"/>
                <w:sz w:val="22"/>
              </w:rPr>
              <w:t>Directors (8 individuals)</w:t>
            </w:r>
          </w:p>
        </w:tc>
        <w:tc>
          <w:tcPr>
            <w:tcW w:type="dxa" w:w="1234"/>
          </w:tcPr>
          <w:p>
            <w:r>
              <w:rPr>
                <w:rFonts w:ascii="Calibri" w:hAnsi="Calibri"/>
                <w:sz w:val="22"/>
              </w:rPr>
              <w:t>RSU Grant (Award)</w:t>
            </w:r>
          </w:p>
        </w:tc>
        <w:tc>
          <w:tcPr>
            <w:tcW w:type="dxa" w:w="1234"/>
          </w:tcPr>
          <w:p>
            <w:r>
              <w:rPr>
                <w:rFonts w:ascii="Calibri" w:hAnsi="Calibri"/>
                <w:sz w:val="22"/>
              </w:rPr>
              <w:t>249–387 each</w:t>
            </w:r>
          </w:p>
        </w:tc>
        <w:tc>
          <w:tcPr>
            <w:tcW w:type="dxa" w:w="1234"/>
          </w:tcPr>
          <w:p>
            <w:r>
              <w:rPr>
                <w:rFonts w:ascii="Calibri" w:hAnsi="Calibri"/>
                <w:sz w:val="22"/>
              </w:rPr>
              <w:t>N/A</w:t>
            </w:r>
          </w:p>
        </w:tc>
        <w:tc>
          <w:tcPr>
            <w:tcW w:type="dxa" w:w="1234"/>
          </w:tcPr>
          <w:p>
            <w:r>
              <w:rPr>
                <w:rFonts w:ascii="Calibri" w:hAnsi="Calibri"/>
                <w:sz w:val="22"/>
              </w:rPr>
              <w:t>May 21, 2026</w:t>
            </w:r>
          </w:p>
        </w:tc>
        <w:tc>
          <w:tcPr>
            <w:tcW w:type="dxa" w:w="1234"/>
          </w:tcPr>
          <w:p>
            <w:r>
              <w:rPr>
                <w:rFonts w:ascii="Calibri" w:hAnsi="Calibri"/>
                <w:sz w:val="22"/>
              </w:rPr>
              <w:t>Routine annual RSU grants to board</w:t>
            </w:r>
          </w:p>
        </w:tc>
      </w:tr>
      <w:tr>
        <w:tc>
          <w:tcPr>
            <w:tcW w:type="dxa" w:w="1234"/>
          </w:tcPr>
          <w:p>
            <w:r>
              <w:rPr>
                <w:rFonts w:ascii="Calibri" w:hAnsi="Calibri"/>
                <w:sz w:val="22"/>
              </w:rPr>
              <w:t>Multiple Directors</w:t>
            </w:r>
          </w:p>
        </w:tc>
        <w:tc>
          <w:tcPr>
            <w:tcW w:type="dxa" w:w="1234"/>
          </w:tcPr>
          <w:p>
            <w:r>
              <w:rPr>
                <w:rFonts w:ascii="Calibri" w:hAnsi="Calibri"/>
                <w:sz w:val="22"/>
              </w:rPr>
              <w:t>Directors (6 individuals)</w:t>
            </w:r>
          </w:p>
        </w:tc>
        <w:tc>
          <w:tcPr>
            <w:tcW w:type="dxa" w:w="1234"/>
          </w:tcPr>
          <w:p>
            <w:r>
              <w:rPr>
                <w:rFonts w:ascii="Calibri" w:hAnsi="Calibri"/>
                <w:sz w:val="22"/>
              </w:rPr>
              <w:t>Option Exercise / Award (Code M)</w:t>
            </w:r>
          </w:p>
        </w:tc>
        <w:tc>
          <w:tcPr>
            <w:tcW w:type="dxa" w:w="1234"/>
          </w:tcPr>
          <w:p>
            <w:r>
              <w:rPr>
                <w:rFonts w:ascii="Calibri" w:hAnsi="Calibri"/>
                <w:sz w:val="22"/>
              </w:rPr>
              <w:t>559–870 each</w:t>
            </w:r>
          </w:p>
        </w:tc>
        <w:tc>
          <w:tcPr>
            <w:tcW w:type="dxa" w:w="1234"/>
          </w:tcPr>
          <w:p>
            <w:r>
              <w:rPr>
                <w:rFonts w:ascii="Calibri" w:hAnsi="Calibri"/>
                <w:sz w:val="22"/>
              </w:rPr>
              <w:t>N/A</w:t>
            </w:r>
          </w:p>
        </w:tc>
        <w:tc>
          <w:tcPr>
            <w:tcW w:type="dxa" w:w="1234"/>
          </w:tcPr>
          <w:p>
            <w:r>
              <w:rPr>
                <w:rFonts w:ascii="Calibri" w:hAnsi="Calibri"/>
                <w:sz w:val="22"/>
              </w:rPr>
              <w:t>June 1, 2026</w:t>
            </w:r>
          </w:p>
        </w:tc>
        <w:tc>
          <w:tcPr>
            <w:tcW w:type="dxa" w:w="1234"/>
          </w:tcPr>
          <w:p>
            <w:r>
              <w:rPr>
                <w:rFonts w:ascii="Calibri" w:hAnsi="Calibri"/>
                <w:sz w:val="22"/>
              </w:rPr>
              <w:t>Routine compensation-related exercises</w:t>
            </w:r>
          </w:p>
        </w:tc>
      </w:tr>
    </w:tbl>
    <w:p>
      <w:r>
        <w:rPr>
          <w:rFonts w:ascii="Calibri" w:hAnsi="Calibri"/>
          <w:b/>
          <w:color w:val="525866"/>
          <w:sz w:val="22"/>
        </w:rPr>
        <w:t xml:space="preserve">Commentary: </w:t>
      </w:r>
      <w:r>
        <w:rPr>
          <w:rFonts w:ascii="Calibri" w:hAnsi="Calibri"/>
          <w:color w:val="525866"/>
          <w:sz w:val="22"/>
        </w:rPr>
        <w:t>The CEO’s combined sale of ~156,000 shares (~$120M) just 5 days after the Q1 earnings beat is the most notable insider signal. This was a discretionary open-market sale (not a 10b5-1 plan), which carries more informational weight than a pre-planned sale. The stock peaked around this time (~$785) and has declined ~27% since. The CAO also sold 4,000 shares the day before. All other activity is routine director compensation (RSU grants, option exercises). No open-market buys have been filed in the period.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