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Quanta Services (PWR)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Quanta Services, Inc.</w:t>
            </w:r>
          </w:p>
        </w:tc>
      </w:tr>
      <w:tr>
        <w:tc>
          <w:tcPr>
            <w:tcW w:type="dxa" w:w="4320"/>
          </w:tcPr>
          <w:p>
            <w:r>
              <w:rPr>
                <w:rFonts w:ascii="Calibri" w:hAnsi="Calibri"/>
                <w:b/>
                <w:sz w:val="22"/>
              </w:rPr>
              <w:t>Ticker</w:t>
            </w:r>
          </w:p>
        </w:tc>
        <w:tc>
          <w:tcPr>
            <w:tcW w:type="dxa" w:w="4320"/>
          </w:tcPr>
          <w:p>
            <w:r>
              <w:rPr>
                <w:rFonts w:ascii="Calibri" w:hAnsi="Calibri"/>
                <w:sz w:val="22"/>
              </w:rPr>
              <w:t>NYSE: PWR</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 Before Market Open</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Sector ETF Benchmark</w:t>
            </w:r>
          </w:p>
        </w:tc>
        <w:tc>
          <w:tcPr>
            <w:tcW w:type="dxa" w:w="4320"/>
          </w:tcPr>
          <w:p>
            <w:r>
              <w:rPr>
                <w:rFonts w:ascii="Calibri" w:hAnsi="Calibri"/>
                <w:sz w:val="22"/>
              </w:rPr>
              <w:t>XLI (Industrial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constructive — consensus is a beatable bar given Q1's massive organic beat and raised guidance, with backlog momentum and data center demand as the primary upside drivers; the single biggest swing factor is whether Q2 margin performance in the Underground &amp; Infrastructure segment sustains its Q1 inflection.</w:t>
      </w:r>
    </w:p>
    <w:p>
      <w:r>
        <w:rPr>
          <w:rFonts w:ascii="Calibri" w:hAnsi="Calibri"/>
          <w:color w:val="525866"/>
          <w:sz w:val="22"/>
        </w:rPr>
        <w:t xml:space="preserve">Heading into Q2 2026 results, the bar looks achievable: consensus expects revenue of ~$8.53B (+26% YoY) and adjusted EPS of ~$3.28, both of which sit modestly above the raised FY2026 guidance midpoint run-rate but below the trajectory implied by Q1's outsized organic beat. </w:t>
      </w:r>
      <w:r>
        <w:rPr>
          <w:rFonts w:ascii="Calibri" w:hAnsi="Calibri"/>
          <w:color w:val="525866"/>
          <w:sz w:val="22"/>
        </w:rPr>
        <w:t xml:space="preserve">Management raised substantially all FY2026 guidance on the Q1 call (April 30), explicitly noting they raised the back half by $50M beyond the Q1 beat itself — a signal of genuine confidence rather than a mechanical carry-forward. </w:t>
      </w:r>
      <w:r>
        <w:rPr>
          <w:rFonts w:ascii="Calibri" w:hAnsi="Calibri"/>
          <w:color w:val="525866"/>
          <w:sz w:val="22"/>
        </w:rPr>
        <w:t xml:space="preserve">Estimate revisions have drifted modestly higher since the Q1 print (+1.5% on Q2 EPS, +0.3% on Q2 revenue), tracking guidance rather than diverging, which means there is limited cushion from a revision-driven re-rating but also limited risk of a downward surprise from estimate creep. </w:t>
      </w:r>
      <w:r>
        <w:rPr>
          <w:rFonts w:ascii="Calibri" w:hAnsi="Calibri"/>
          <w:color w:val="525866"/>
          <w:sz w:val="22"/>
        </w:rPr>
        <w:t xml:space="preserve">The stock has given back ~23% from its post-Q1 peak (~$785) to ~$588 as of July 28, driven almost entirely by multiple compression (NTM EV/EBITDA contracted from ~28.5x to ~24.3x) rather than estimate cuts, leaving the setup more attractive than the price action implies. </w:t>
      </w:r>
      <w:r>
        <w:rPr>
          <w:rFonts w:ascii="Calibri" w:hAnsi="Calibri"/>
          <w:color w:val="525866"/>
          <w:sz w:val="22"/>
        </w:rPr>
        <w:t>The key wildcard is the pace of large transmission and CCGT project bookings entering backlog — management guided for late-2026/early-2027 timing, and any acceleration (or delay) in that cadence will be the most market-moving data point on the call.</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 but beatable bar — Q2 revenue of $8.53B and adjusted EPS of $3.28 both sit within the raised FY2026 guidance envelope, and backlog is the bigger swing factor: a record print above $49B would signal continued demand acceleration and likely drive the stock more than a modest EPS beat alone.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($B)</w:t>
            </w:r>
          </w:p>
        </w:tc>
        <w:tc>
          <w:tcPr>
            <w:tcW w:type="dxa" w:w="1234"/>
          </w:tcPr>
          <w:p>
            <w:r>
              <w:rPr>
                <w:rFonts w:ascii="Calibri" w:hAnsi="Calibri"/>
                <w:sz w:val="22"/>
              </w:rPr>
              <w:t>$7.87B</w:t>
            </w:r>
          </w:p>
        </w:tc>
        <w:tc>
          <w:tcPr>
            <w:tcW w:type="dxa" w:w="1234"/>
          </w:tcPr>
          <w:p>
            <w:r>
              <w:rPr>
                <w:rFonts w:ascii="Calibri" w:hAnsi="Calibri"/>
                <w:sz w:val="22"/>
              </w:rPr>
              <w:t>$6.77B</w:t>
            </w:r>
          </w:p>
        </w:tc>
        <w:tc>
          <w:tcPr>
            <w:tcW w:type="dxa" w:w="1234"/>
          </w:tcPr>
          <w:p>
            <w:r>
              <w:rPr>
                <w:rFonts w:ascii="Calibri" w:hAnsi="Calibri"/>
                <w:sz w:val="22"/>
              </w:rPr>
              <w:t>$8.53B</w:t>
            </w:r>
          </w:p>
        </w:tc>
        <w:tc>
          <w:tcPr>
            <w:tcW w:type="dxa" w:w="1234"/>
          </w:tcPr>
          <w:p>
            <w:r>
              <w:rPr>
                <w:rFonts w:ascii="Calibri" w:hAnsi="Calibri"/>
                <w:sz w:val="22"/>
              </w:rPr>
              <w:t>+26.0%</w:t>
            </w:r>
          </w:p>
        </w:tc>
        <w:tc>
          <w:tcPr>
            <w:tcW w:type="dxa" w:w="1234"/>
          </w:tcPr>
          <w:p>
            <w:r>
              <w:rPr>
                <w:rFonts w:ascii="Calibri" w:hAnsi="Calibri"/>
                <w:sz w:val="22"/>
              </w:rPr>
              <w:t>$34.95B (FY)</w:t>
            </w:r>
          </w:p>
        </w:tc>
        <w:tc>
          <w:tcPr>
            <w:tcW w:type="dxa" w:w="1234"/>
          </w:tcPr>
          <w:p>
            <w:r>
              <w:rPr>
                <w:rFonts w:ascii="Calibri" w:hAnsi="Calibri"/>
                <w:sz w:val="22"/>
              </w:rPr>
              <w:t>~+0.2% vs. implied quarterly run-rate</w:t>
            </w:r>
          </w:p>
        </w:tc>
      </w:tr>
      <w:tr>
        <w:tc>
          <w:tcPr>
            <w:tcW w:type="dxa" w:w="1234"/>
          </w:tcPr>
          <w:p>
            <w:r>
              <w:rPr>
                <w:rFonts w:ascii="Calibri" w:hAnsi="Calibri"/>
                <w:sz w:val="22"/>
              </w:rPr>
              <w:t>Adjusted EPS (Diluted)</w:t>
            </w:r>
          </w:p>
        </w:tc>
        <w:tc>
          <w:tcPr>
            <w:tcW w:type="dxa" w:w="1234"/>
          </w:tcPr>
          <w:p>
            <w:r>
              <w:rPr>
                <w:rFonts w:ascii="Calibri" w:hAnsi="Calibri"/>
                <w:sz w:val="22"/>
              </w:rPr>
              <w:t>$2.68</w:t>
            </w:r>
          </w:p>
        </w:tc>
        <w:tc>
          <w:tcPr>
            <w:tcW w:type="dxa" w:w="1234"/>
          </w:tcPr>
          <w:p>
            <w:r>
              <w:rPr>
                <w:rFonts w:ascii="Calibri" w:hAnsi="Calibri"/>
                <w:sz w:val="22"/>
              </w:rPr>
              <w:t>$2.48</w:t>
            </w:r>
          </w:p>
        </w:tc>
        <w:tc>
          <w:tcPr>
            <w:tcW w:type="dxa" w:w="1234"/>
          </w:tcPr>
          <w:p>
            <w:r>
              <w:rPr>
                <w:rFonts w:ascii="Calibri" w:hAnsi="Calibri"/>
                <w:sz w:val="22"/>
              </w:rPr>
              <w:t>$3.28</w:t>
            </w:r>
          </w:p>
        </w:tc>
        <w:tc>
          <w:tcPr>
            <w:tcW w:type="dxa" w:w="1234"/>
          </w:tcPr>
          <w:p>
            <w:r>
              <w:rPr>
                <w:rFonts w:ascii="Calibri" w:hAnsi="Calibri"/>
                <w:sz w:val="22"/>
              </w:rPr>
              <w:t>+32.3%</w:t>
            </w:r>
          </w:p>
        </w:tc>
        <w:tc>
          <w:tcPr>
            <w:tcW w:type="dxa" w:w="1234"/>
          </w:tcPr>
          <w:p>
            <w:r>
              <w:rPr>
                <w:rFonts w:ascii="Calibri" w:hAnsi="Calibri"/>
                <w:sz w:val="22"/>
              </w:rPr>
              <w:t>$13.90 (FY midpoint)</w:t>
            </w:r>
          </w:p>
        </w:tc>
        <w:tc>
          <w:tcPr>
            <w:tcW w:type="dxa" w:w="1234"/>
          </w:tcPr>
          <w:p>
            <w:r>
              <w:rPr>
                <w:rFonts w:ascii="Calibri" w:hAnsi="Calibri"/>
                <w:sz w:val="22"/>
              </w:rPr>
              <w:t>~+0.5% vs. implied quarterly run-rate</w:t>
            </w:r>
          </w:p>
        </w:tc>
      </w:tr>
      <w:tr>
        <w:tc>
          <w:tcPr>
            <w:tcW w:type="dxa" w:w="1234"/>
          </w:tcPr>
          <w:p>
            <w:r>
              <w:rPr>
                <w:rFonts w:ascii="Calibri" w:hAnsi="Calibri"/>
                <w:sz w:val="22"/>
              </w:rPr>
              <w:t>Total Backlog ($B)</w:t>
            </w:r>
          </w:p>
        </w:tc>
        <w:tc>
          <w:tcPr>
            <w:tcW w:type="dxa" w:w="1234"/>
          </w:tcPr>
          <w:p>
            <w:r>
              <w:rPr>
                <w:rFonts w:ascii="Calibri" w:hAnsi="Calibri"/>
                <w:sz w:val="22"/>
              </w:rPr>
              <w:t>$48.5B (record)</w:t>
            </w:r>
          </w:p>
        </w:tc>
        <w:tc>
          <w:tcPr>
            <w:tcW w:type="dxa" w:w="1234"/>
          </w:tcPr>
          <w:p>
            <w:r>
              <w:rPr>
                <w:rFonts w:ascii="Calibri" w:hAnsi="Calibri"/>
                <w:sz w:val="22"/>
              </w:rPr>
              <w:t>$35.8B</w:t>
            </w:r>
          </w:p>
        </w:tc>
        <w:tc>
          <w:tcPr>
            <w:tcW w:type="dxa" w:w="1234"/>
          </w:tcPr>
          <w:p>
            <w:r>
              <w:rPr>
                <w:rFonts w:ascii="Calibri" w:hAnsi="Calibri"/>
                <w:sz w:val="22"/>
              </w:rPr>
              <w:t>$49.2B</w:t>
            </w:r>
          </w:p>
        </w:tc>
        <w:tc>
          <w:tcPr>
            <w:tcW w:type="dxa" w:w="1234"/>
          </w:tcPr>
          <w:p>
            <w:r>
              <w:rPr>
                <w:rFonts w:ascii="Calibri" w:hAnsi="Calibri"/>
                <w:sz w:val="22"/>
              </w:rPr>
              <w:t>+37.3%</w:t>
            </w:r>
          </w:p>
        </w:tc>
        <w:tc>
          <w:tcPr>
            <w:tcW w:type="dxa" w:w="1234"/>
          </w:tcPr>
          <w:p>
            <w:r>
              <w:rPr>
                <w:rFonts w:ascii="Calibri" w:hAnsi="Calibri"/>
                <w:sz w:val="22"/>
              </w:rPr>
              <w:t>N/A — no quarterly guidance</w:t>
            </w:r>
          </w:p>
        </w:tc>
        <w:tc>
          <w:tcPr>
            <w:tcW w:type="dxa" w:w="1234"/>
          </w:tcPr>
          <w:p>
            <w:r>
              <w:rPr>
                <w:rFonts w:ascii="Calibri" w:hAnsi="Calibri"/>
                <w:sz w:val="22"/>
              </w:rPr>
              <w:t>N/A</w:t>
            </w:r>
          </w:p>
        </w:tc>
      </w:tr>
      <w:tr>
        <w:tc>
          <w:tcPr>
            <w:tcW w:type="dxa" w:w="1234"/>
          </w:tcPr>
          <w:p>
            <w:r>
              <w:rPr>
                <w:rFonts w:ascii="Calibri" w:hAnsi="Calibri"/>
                <w:sz w:val="22"/>
              </w:rPr>
              <w:t>Adj. EBITDA ($M)</w:t>
            </w:r>
          </w:p>
        </w:tc>
        <w:tc>
          <w:tcPr>
            <w:tcW w:type="dxa" w:w="1234"/>
          </w:tcPr>
          <w:p>
            <w:r>
              <w:rPr>
                <w:rFonts w:ascii="Calibri" w:hAnsi="Calibri"/>
                <w:sz w:val="22"/>
              </w:rPr>
              <w:t>$686M</w:t>
            </w:r>
          </w:p>
        </w:tc>
        <w:tc>
          <w:tcPr>
            <w:tcW w:type="dxa" w:w="1234"/>
          </w:tcPr>
          <w:p>
            <w:r>
              <w:rPr>
                <w:rFonts w:ascii="Calibri" w:hAnsi="Calibri"/>
                <w:sz w:val="22"/>
              </w:rPr>
              <w:t>$669M</w:t>
            </w:r>
          </w:p>
        </w:tc>
        <w:tc>
          <w:tcPr>
            <w:tcW w:type="dxa" w:w="1234"/>
          </w:tcPr>
          <w:p>
            <w:r>
              <w:rPr>
                <w:rFonts w:ascii="Calibri" w:hAnsi="Calibri"/>
                <w:sz w:val="22"/>
              </w:rPr>
              <w:t>$866M</w:t>
            </w:r>
          </w:p>
        </w:tc>
        <w:tc>
          <w:tcPr>
            <w:tcW w:type="dxa" w:w="1234"/>
          </w:tcPr>
          <w:p>
            <w:r>
              <w:rPr>
                <w:rFonts w:ascii="Calibri" w:hAnsi="Calibri"/>
                <w:sz w:val="22"/>
              </w:rPr>
              <w:t>+29.5%</w:t>
            </w:r>
          </w:p>
        </w:tc>
        <w:tc>
          <w:tcPr>
            <w:tcW w:type="dxa" w:w="1234"/>
          </w:tcPr>
          <w:p>
            <w:r>
              <w:rPr>
                <w:rFonts w:ascii="Calibri" w:hAnsi="Calibri"/>
                <w:sz w:val="22"/>
              </w:rPr>
              <w:t>$3.57B (FY midpoint)</w:t>
            </w:r>
          </w:p>
        </w:tc>
        <w:tc>
          <w:tcPr>
            <w:tcW w:type="dxa" w:w="1234"/>
          </w:tcPr>
          <w:p>
            <w:r>
              <w:rPr>
                <w:rFonts w:ascii="Calibri" w:hAnsi="Calibri"/>
                <w:sz w:val="22"/>
              </w:rPr>
              <w:t>~+0.4% vs. implied quarterly run-rate</w:t>
            </w:r>
          </w:p>
        </w:tc>
      </w:tr>
      <w:tr>
        <w:tc>
          <w:tcPr>
            <w:tcW w:type="dxa" w:w="1234"/>
          </w:tcPr>
          <w:p>
            <w:r>
              <w:rPr>
                <w:rFonts w:ascii="Calibri" w:hAnsi="Calibri"/>
                <w:sz w:val="22"/>
              </w:rPr>
              <w:t>Adj. Operating Margin (%)</w:t>
            </w:r>
          </w:p>
        </w:tc>
        <w:tc>
          <w:tcPr>
            <w:tcW w:type="dxa" w:w="1234"/>
          </w:tcPr>
          <w:p>
            <w:r>
              <w:rPr>
                <w:rFonts w:ascii="Calibri" w:hAnsi="Calibri"/>
                <w:sz w:val="22"/>
              </w:rPr>
              <w:t>7.3%</w:t>
            </w:r>
          </w:p>
        </w:tc>
        <w:tc>
          <w:tcPr>
            <w:tcW w:type="dxa" w:w="1234"/>
          </w:tcPr>
          <w:p>
            <w:r>
              <w:rPr>
                <w:rFonts w:ascii="Calibri" w:hAnsi="Calibri"/>
                <w:sz w:val="22"/>
              </w:rPr>
              <w:t>8.1%</w:t>
            </w:r>
          </w:p>
        </w:tc>
        <w:tc>
          <w:tcPr>
            <w:tcW w:type="dxa" w:w="1234"/>
          </w:tcPr>
          <w:p>
            <w:r>
              <w:rPr>
                <w:rFonts w:ascii="Calibri" w:hAnsi="Calibri"/>
                <w:sz w:val="22"/>
              </w:rPr>
              <w:t>8.8%</w:t>
            </w:r>
          </w:p>
        </w:tc>
        <w:tc>
          <w:tcPr>
            <w:tcW w:type="dxa" w:w="1234"/>
          </w:tcPr>
          <w:p>
            <w:r>
              <w:rPr>
                <w:rFonts w:ascii="Calibri" w:hAnsi="Calibri"/>
                <w:sz w:val="22"/>
              </w:rPr>
              <w:t>+70 bps YoY</w:t>
            </w:r>
          </w:p>
        </w:tc>
        <w:tc>
          <w:tcPr>
            <w:tcW w:type="dxa" w:w="1234"/>
          </w:tcPr>
          <w:p>
            <w:r>
              <w:rPr>
                <w:rFonts w:ascii="Calibri" w:hAnsi="Calibri"/>
                <w:sz w:val="22"/>
              </w:rPr>
              <w:t>~8.9% (FY implied)</w:t>
            </w:r>
          </w:p>
        </w:tc>
        <w:tc>
          <w:tcPr>
            <w:tcW w:type="dxa" w:w="1234"/>
          </w:tcPr>
          <w:p>
            <w:r>
              <w:rPr>
                <w:rFonts w:ascii="Calibri" w:hAnsi="Calibri"/>
                <w:sz w:val="22"/>
              </w:rPr>
              <w:t>~−10 bps vs. FY implied</w:t>
            </w:r>
          </w:p>
        </w:tc>
      </w:tr>
      <w:tr>
        <w:tc>
          <w:tcPr>
            <w:tcW w:type="dxa" w:w="1234"/>
          </w:tcPr>
          <w:p>
            <w:r>
              <w:rPr>
                <w:rFonts w:ascii="Calibri" w:hAnsi="Calibri"/>
                <w:sz w:val="22"/>
              </w:rPr>
              <w:t>Electric Segment Revenue ($B)</w:t>
            </w:r>
          </w:p>
        </w:tc>
        <w:tc>
          <w:tcPr>
            <w:tcW w:type="dxa" w:w="1234"/>
          </w:tcPr>
          <w:p>
            <w:r>
              <w:rPr>
                <w:rFonts w:ascii="Calibri" w:hAnsi="Calibri"/>
                <w:sz w:val="22"/>
              </w:rPr>
              <w:t>$6.47B</w:t>
            </w:r>
          </w:p>
        </w:tc>
        <w:tc>
          <w:tcPr>
            <w:tcW w:type="dxa" w:w="1234"/>
          </w:tcPr>
          <w:p>
            <w:r>
              <w:rPr>
                <w:rFonts w:ascii="Calibri" w:hAnsi="Calibri"/>
                <w:sz w:val="22"/>
              </w:rPr>
              <w:t>$5.46B</w:t>
            </w:r>
          </w:p>
        </w:tc>
        <w:tc>
          <w:tcPr>
            <w:tcW w:type="dxa" w:w="1234"/>
          </w:tcPr>
          <w:p>
            <w:r>
              <w:rPr>
                <w:rFonts w:ascii="Calibri" w:hAnsi="Calibri"/>
                <w:sz w:val="22"/>
              </w:rPr>
              <w:t>$6.86B</w:t>
            </w:r>
          </w:p>
        </w:tc>
        <w:tc>
          <w:tcPr>
            <w:tcW w:type="dxa" w:w="1234"/>
          </w:tcPr>
          <w:p>
            <w:r>
              <w:rPr>
                <w:rFonts w:ascii="Calibri" w:hAnsi="Calibri"/>
                <w:sz w:val="22"/>
              </w:rPr>
              <w:t>+25.7%</w:t>
            </w:r>
          </w:p>
        </w:tc>
        <w:tc>
          <w:tcPr>
            <w:tcW w:type="dxa" w:w="1234"/>
          </w:tcPr>
          <w:p>
            <w:r>
              <w:rPr>
                <w:rFonts w:ascii="Calibri" w:hAnsi="Calibri"/>
                <w:sz w:val="22"/>
              </w:rPr>
              <w:t>$28.39B (FY)</w:t>
            </w:r>
          </w:p>
        </w:tc>
        <w:tc>
          <w:tcPr>
            <w:tcW w:type="dxa" w:w="1234"/>
          </w:tcPr>
          <w:p>
            <w:r>
              <w:rPr>
                <w:rFonts w:ascii="Calibri" w:hAnsi="Calibri"/>
                <w:sz w:val="22"/>
              </w:rPr>
              <w:t>~+0.3% vs. implied quarterly run-rate</w:t>
            </w:r>
          </w:p>
        </w:tc>
      </w:tr>
      <w:tr>
        <w:tc>
          <w:tcPr>
            <w:tcW w:type="dxa" w:w="1234"/>
          </w:tcPr>
          <w:p>
            <w:r>
              <w:rPr>
                <w:rFonts w:ascii="Calibri" w:hAnsi="Calibri"/>
                <w:sz w:val="22"/>
              </w:rPr>
              <w:t>Underground &amp; Infrastructure Revenue ($B)</w:t>
            </w:r>
          </w:p>
        </w:tc>
        <w:tc>
          <w:tcPr>
            <w:tcW w:type="dxa" w:w="1234"/>
          </w:tcPr>
          <w:p>
            <w:r>
              <w:rPr>
                <w:rFonts w:ascii="Calibri" w:hAnsi="Calibri"/>
                <w:sz w:val="22"/>
              </w:rPr>
              <w:t>$1.41B</w:t>
            </w:r>
          </w:p>
        </w:tc>
        <w:tc>
          <w:tcPr>
            <w:tcW w:type="dxa" w:w="1234"/>
          </w:tcPr>
          <w:p>
            <w:r>
              <w:rPr>
                <w:rFonts w:ascii="Calibri" w:hAnsi="Calibri"/>
                <w:sz w:val="22"/>
              </w:rPr>
              <w:t>$1.31B</w:t>
            </w:r>
          </w:p>
        </w:tc>
        <w:tc>
          <w:tcPr>
            <w:tcW w:type="dxa" w:w="1234"/>
          </w:tcPr>
          <w:p>
            <w:r>
              <w:rPr>
                <w:rFonts w:ascii="Calibri" w:hAnsi="Calibri"/>
                <w:sz w:val="22"/>
              </w:rPr>
              <w:t>$1.66B</w:t>
            </w:r>
          </w:p>
        </w:tc>
        <w:tc>
          <w:tcPr>
            <w:tcW w:type="dxa" w:w="1234"/>
          </w:tcPr>
          <w:p>
            <w:r>
              <w:rPr>
                <w:rFonts w:ascii="Calibri" w:hAnsi="Calibri"/>
                <w:sz w:val="22"/>
              </w:rPr>
              <w:t>+26.0%</w:t>
            </w:r>
          </w:p>
        </w:tc>
        <w:tc>
          <w:tcPr>
            <w:tcW w:type="dxa" w:w="1234"/>
          </w:tcPr>
          <w:p>
            <w:r>
              <w:rPr>
                <w:rFonts w:ascii="Calibri" w:hAnsi="Calibri"/>
                <w:sz w:val="22"/>
              </w:rPr>
              <w:t>$6.63B (FY)</w:t>
            </w:r>
          </w:p>
        </w:tc>
        <w:tc>
          <w:tcPr>
            <w:tcW w:type="dxa" w:w="1234"/>
          </w:tcPr>
          <w:p>
            <w:r>
              <w:rPr>
                <w:rFonts w:ascii="Calibri" w:hAnsi="Calibri"/>
                <w:sz w:val="22"/>
              </w:rPr>
              <w:t>~+0.3% vs. implied quarterly run-rate</w:t>
            </w:r>
          </w:p>
        </w:tc>
      </w:tr>
    </w:tbl>
    <w:p>
      <w:r>
        <w:rPr>
          <w:rFonts w:ascii="Calibri" w:hAnsi="Calibri"/>
          <w:color w:val="525866"/>
          <w:sz w:val="22"/>
        </w:rPr>
        <w:t>Sources: Visible Alpha Consensus and Actuals Data (Revenues, EPS-Diluted - Operating, Backlog - Total, EBITDA - Operating, Operating margin - Operating, Revenue - Electric Infrastructure Solutions, Revenue - Underground Utility and Infrastructure Solutions). FY2026 guidance midpoints from Q1 2026 Earnings Release (April 30, 2026).</w:t>
      </w:r>
    </w:p>
    <w:p>
      <w:pPr>
        <w:pStyle w:val="Heading3"/>
      </w:pPr>
      <w:r>
        <w:rPr>
          <w:rFonts w:ascii="Calibri" w:hAnsi="Calibri"/>
          <w:b/>
          <w:color w:val="3B4259"/>
          <w:sz w:val="24"/>
        </w:rPr>
        <w:t>Table 2 — Beat / Miss History (Last 8 Quarters, Top 2 KPIs)</w:t>
      </w:r>
    </w:p>
    <w:p>
      <w:r>
        <w:rPr>
          <w:rFonts w:ascii="Calibri" w:hAnsi="Calibri"/>
          <w:b/>
          <w:color w:val="525866"/>
          <w:sz w:val="22"/>
        </w:rPr>
        <w:t>KPI 1: Revenue | KPI 2: Adjusted EPS (Diluted - Operating)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$5.59B</w:t>
            </w:r>
          </w:p>
        </w:tc>
        <w:tc>
          <w:tcPr>
            <w:tcW w:type="dxa" w:w="1440"/>
          </w:tcPr>
          <w:p>
            <w:r>
              <w:rPr>
                <w:rFonts w:ascii="Calibri" w:hAnsi="Calibri"/>
                <w:sz w:val="22"/>
              </w:rPr>
              <w:t>$5.52B</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$1.90</w:t>
            </w:r>
          </w:p>
        </w:tc>
        <w:tc>
          <w:tcPr>
            <w:tcW w:type="dxa" w:w="1440"/>
          </w:tcPr>
          <w:p>
            <w:r>
              <w:rPr>
                <w:rFonts w:ascii="Calibri" w:hAnsi="Calibri"/>
                <w:sz w:val="22"/>
              </w:rPr>
              <w:t>$1.93</w:t>
            </w:r>
          </w:p>
        </w:tc>
        <w:tc>
          <w:tcPr>
            <w:tcW w:type="dxa" w:w="1440"/>
          </w:tcPr>
          <w:p>
            <w:r>
              <w:rPr>
                <w:rFonts w:ascii="Calibri" w:hAnsi="Calibri"/>
                <w:b/>
                <w:color w:val="E5484D"/>
                <w:sz w:val="22"/>
              </w:rPr>
              <w:t>−1.6%</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$6.49B</w:t>
            </w:r>
          </w:p>
        </w:tc>
        <w:tc>
          <w:tcPr>
            <w:tcW w:type="dxa" w:w="1440"/>
          </w:tcPr>
          <w:p>
            <w:r>
              <w:rPr>
                <w:rFonts w:ascii="Calibri" w:hAnsi="Calibri"/>
                <w:sz w:val="22"/>
              </w:rPr>
              <w:t>$6.57B</w:t>
            </w:r>
          </w:p>
        </w:tc>
        <w:tc>
          <w:tcPr>
            <w:tcW w:type="dxa" w:w="1440"/>
          </w:tcPr>
          <w:p>
            <w:r>
              <w:rPr>
                <w:rFonts w:ascii="Calibri" w:hAnsi="Calibri"/>
                <w:b/>
                <w:color w:val="E5484D"/>
                <w:sz w:val="22"/>
              </w:rPr>
              <w:t>−1.2%</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$2.72</w:t>
            </w:r>
          </w:p>
        </w:tc>
        <w:tc>
          <w:tcPr>
            <w:tcW w:type="dxa" w:w="1440"/>
          </w:tcPr>
          <w:p>
            <w:r>
              <w:rPr>
                <w:rFonts w:ascii="Calibri" w:hAnsi="Calibri"/>
                <w:sz w:val="22"/>
              </w:rPr>
              <w:t>$2.66</w:t>
            </w:r>
          </w:p>
        </w:tc>
        <w:tc>
          <w:tcPr>
            <w:tcW w:type="dxa" w:w="1440"/>
          </w:tcPr>
          <w:p>
            <w:r>
              <w:rPr>
                <w:rFonts w:ascii="Calibri" w:hAnsi="Calibri"/>
                <w:b/>
                <w:color w:val="30A46C"/>
                <w:sz w:val="22"/>
              </w:rPr>
              <w:t>+2.2%</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$6.55B</w:t>
            </w:r>
          </w:p>
        </w:tc>
        <w:tc>
          <w:tcPr>
            <w:tcW w:type="dxa" w:w="1440"/>
          </w:tcPr>
          <w:p>
            <w:r>
              <w:rPr>
                <w:rFonts w:ascii="Calibri" w:hAnsi="Calibri"/>
                <w:sz w:val="22"/>
              </w:rPr>
              <w:t>$6.62B</w:t>
            </w:r>
          </w:p>
        </w:tc>
        <w:tc>
          <w:tcPr>
            <w:tcW w:type="dxa" w:w="1440"/>
          </w:tcPr>
          <w:p>
            <w:r>
              <w:rPr>
                <w:rFonts w:ascii="Calibri" w:hAnsi="Calibri"/>
                <w:b/>
                <w:color w:val="E5484D"/>
                <w:sz w:val="22"/>
              </w:rPr>
              <w:t>−1.1%</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$2.94</w:t>
            </w:r>
          </w:p>
        </w:tc>
        <w:tc>
          <w:tcPr>
            <w:tcW w:type="dxa" w:w="1440"/>
          </w:tcPr>
          <w:p>
            <w:r>
              <w:rPr>
                <w:rFonts w:ascii="Calibri" w:hAnsi="Calibri"/>
                <w:sz w:val="22"/>
              </w:rPr>
              <w:t>$2.63</w:t>
            </w:r>
          </w:p>
        </w:tc>
        <w:tc>
          <w:tcPr>
            <w:tcW w:type="dxa" w:w="1440"/>
          </w:tcPr>
          <w:p>
            <w:r>
              <w:rPr>
                <w:rFonts w:ascii="Calibri" w:hAnsi="Calibri"/>
                <w:b/>
                <w:color w:val="30A46C"/>
                <w:sz w:val="22"/>
              </w:rPr>
              <w:t>+11.8%</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$6.23B</w:t>
            </w:r>
          </w:p>
        </w:tc>
        <w:tc>
          <w:tcPr>
            <w:tcW w:type="dxa" w:w="1440"/>
          </w:tcPr>
          <w:p>
            <w:r>
              <w:rPr>
                <w:rFonts w:ascii="Calibri" w:hAnsi="Calibri"/>
                <w:sz w:val="22"/>
              </w:rPr>
              <w:t>$5.86B</w:t>
            </w:r>
          </w:p>
        </w:tc>
        <w:tc>
          <w:tcPr>
            <w:tcW w:type="dxa" w:w="1440"/>
          </w:tcPr>
          <w:p>
            <w:r>
              <w:rPr>
                <w:rFonts w:ascii="Calibri" w:hAnsi="Calibri"/>
                <w:b/>
                <w:color w:val="30A46C"/>
                <w:sz w:val="22"/>
              </w:rPr>
              <w:t>+6.4%</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$1.78</w:t>
            </w:r>
          </w:p>
        </w:tc>
        <w:tc>
          <w:tcPr>
            <w:tcW w:type="dxa" w:w="1440"/>
          </w:tcPr>
          <w:p>
            <w:r>
              <w:rPr>
                <w:rFonts w:ascii="Calibri" w:hAnsi="Calibri"/>
                <w:sz w:val="22"/>
              </w:rPr>
              <w:t>$1.67</w:t>
            </w:r>
          </w:p>
        </w:tc>
        <w:tc>
          <w:tcPr>
            <w:tcW w:type="dxa" w:w="1440"/>
          </w:tcPr>
          <w:p>
            <w:r>
              <w:rPr>
                <w:rFonts w:ascii="Calibri" w:hAnsi="Calibri"/>
                <w:b/>
                <w:color w:val="30A46C"/>
                <w:sz w:val="22"/>
              </w:rPr>
              <w:t>+6.6%</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$6.77B</w:t>
            </w:r>
          </w:p>
        </w:tc>
        <w:tc>
          <w:tcPr>
            <w:tcW w:type="dxa" w:w="1440"/>
          </w:tcPr>
          <w:p>
            <w:r>
              <w:rPr>
                <w:rFonts w:ascii="Calibri" w:hAnsi="Calibri"/>
                <w:sz w:val="22"/>
              </w:rPr>
              <w:t>$6.55B</w:t>
            </w:r>
          </w:p>
        </w:tc>
        <w:tc>
          <w:tcPr>
            <w:tcW w:type="dxa" w:w="1440"/>
          </w:tcPr>
          <w:p>
            <w:r>
              <w:rPr>
                <w:rFonts w:ascii="Calibri" w:hAnsi="Calibri"/>
                <w:b/>
                <w:color w:val="30A46C"/>
                <w:sz w:val="22"/>
              </w:rPr>
              <w:t>+3.4%</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$2.48</w:t>
            </w:r>
          </w:p>
        </w:tc>
        <w:tc>
          <w:tcPr>
            <w:tcW w:type="dxa" w:w="1440"/>
          </w:tcPr>
          <w:p>
            <w:r>
              <w:rPr>
                <w:rFonts w:ascii="Calibri" w:hAnsi="Calibri"/>
                <w:sz w:val="22"/>
              </w:rPr>
              <w:t>$2.42</w:t>
            </w:r>
          </w:p>
        </w:tc>
        <w:tc>
          <w:tcPr>
            <w:tcW w:type="dxa" w:w="1440"/>
          </w:tcPr>
          <w:p>
            <w:r>
              <w:rPr>
                <w:rFonts w:ascii="Calibri" w:hAnsi="Calibri"/>
                <w:b/>
                <w:color w:val="30A46C"/>
                <w:sz w:val="22"/>
              </w:rPr>
              <w:t>+2.5%</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$7.63B</w:t>
            </w:r>
          </w:p>
        </w:tc>
        <w:tc>
          <w:tcPr>
            <w:tcW w:type="dxa" w:w="1440"/>
          </w:tcPr>
          <w:p>
            <w:r>
              <w:rPr>
                <w:rFonts w:ascii="Calibri" w:hAnsi="Calibri"/>
                <w:sz w:val="22"/>
              </w:rPr>
              <w:t>$7.42B</w:t>
            </w:r>
          </w:p>
        </w:tc>
        <w:tc>
          <w:tcPr>
            <w:tcW w:type="dxa" w:w="1440"/>
          </w:tcPr>
          <w:p>
            <w:r>
              <w:rPr>
                <w:rFonts w:ascii="Calibri" w:hAnsi="Calibri"/>
                <w:b/>
                <w:color w:val="30A46C"/>
                <w:sz w:val="22"/>
              </w:rPr>
              <w:t>+2.8%</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$3.33</w:t>
            </w:r>
          </w:p>
        </w:tc>
        <w:tc>
          <w:tcPr>
            <w:tcW w:type="dxa" w:w="1440"/>
          </w:tcPr>
          <w:p>
            <w:r>
              <w:rPr>
                <w:rFonts w:ascii="Calibri" w:hAnsi="Calibri"/>
                <w:sz w:val="22"/>
              </w:rPr>
              <w:t>$3.25</w:t>
            </w:r>
          </w:p>
        </w:tc>
        <w:tc>
          <w:tcPr>
            <w:tcW w:type="dxa" w:w="1440"/>
          </w:tcPr>
          <w:p>
            <w:r>
              <w:rPr>
                <w:rFonts w:ascii="Calibri" w:hAnsi="Calibri"/>
                <w:b/>
                <w:color w:val="30A46C"/>
                <w:sz w:val="22"/>
              </w:rPr>
              <w:t>+2.5%</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$7.84B</w:t>
            </w:r>
          </w:p>
        </w:tc>
        <w:tc>
          <w:tcPr>
            <w:tcW w:type="dxa" w:w="1440"/>
          </w:tcPr>
          <w:p>
            <w:r>
              <w:rPr>
                <w:rFonts w:ascii="Calibri" w:hAnsi="Calibri"/>
                <w:sz w:val="22"/>
              </w:rPr>
              <w:t>$7.37B</w:t>
            </w:r>
          </w:p>
        </w:tc>
        <w:tc>
          <w:tcPr>
            <w:tcW w:type="dxa" w:w="1440"/>
          </w:tcPr>
          <w:p>
            <w:r>
              <w:rPr>
                <w:rFonts w:ascii="Calibri" w:hAnsi="Calibri"/>
                <w:b/>
                <w:color w:val="30A46C"/>
                <w:sz w:val="22"/>
              </w:rPr>
              <w:t>+6.5%</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$3.16</w:t>
            </w:r>
          </w:p>
        </w:tc>
        <w:tc>
          <w:tcPr>
            <w:tcW w:type="dxa" w:w="1440"/>
          </w:tcPr>
          <w:p>
            <w:r>
              <w:rPr>
                <w:rFonts w:ascii="Calibri" w:hAnsi="Calibri"/>
                <w:sz w:val="22"/>
              </w:rPr>
              <w:t>$3.01</w:t>
            </w:r>
          </w:p>
        </w:tc>
        <w:tc>
          <w:tcPr>
            <w:tcW w:type="dxa" w:w="1440"/>
          </w:tcPr>
          <w:p>
            <w:r>
              <w:rPr>
                <w:rFonts w:ascii="Calibri" w:hAnsi="Calibri"/>
                <w:b/>
                <w:color w:val="30A46C"/>
                <w:sz w:val="22"/>
              </w:rPr>
              <w:t>+5.0%</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$7.87B</w:t>
            </w:r>
          </w:p>
        </w:tc>
        <w:tc>
          <w:tcPr>
            <w:tcW w:type="dxa" w:w="1440"/>
          </w:tcPr>
          <w:p>
            <w:r>
              <w:rPr>
                <w:rFonts w:ascii="Calibri" w:hAnsi="Calibri"/>
                <w:sz w:val="22"/>
              </w:rPr>
              <w:t>$7.06B</w:t>
            </w:r>
          </w:p>
        </w:tc>
        <w:tc>
          <w:tcPr>
            <w:tcW w:type="dxa" w:w="1440"/>
          </w:tcPr>
          <w:p>
            <w:r>
              <w:rPr>
                <w:rFonts w:ascii="Calibri" w:hAnsi="Calibri"/>
                <w:b/>
                <w:color w:val="30A46C"/>
                <w:sz w:val="22"/>
              </w:rPr>
              <w:t>+11.5%</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$2.68</w:t>
            </w:r>
          </w:p>
        </w:tc>
        <w:tc>
          <w:tcPr>
            <w:tcW w:type="dxa" w:w="1440"/>
          </w:tcPr>
          <w:p>
            <w:r>
              <w:rPr>
                <w:rFonts w:ascii="Calibri" w:hAnsi="Calibri"/>
                <w:sz w:val="22"/>
              </w:rPr>
              <w:t>$2.07</w:t>
            </w:r>
          </w:p>
        </w:tc>
        <w:tc>
          <w:tcPr>
            <w:tcW w:type="dxa" w:w="1440"/>
          </w:tcPr>
          <w:p>
            <w:r>
              <w:rPr>
                <w:rFonts w:ascii="Calibri" w:hAnsi="Calibri"/>
                <w:b/>
                <w:color w:val="30A46C"/>
                <w:sz w:val="22"/>
              </w:rPr>
              <w:t>+29.5%</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PWR has beaten adjusted EPS consensus in 7 of the last 8 quarters, with the sole miss (Q2 2024, −1.6%) being marginal; the Q1 2026 EPS beat of +29.5% was the largest in recent history and was entirely organic (no acquisitions in the quarter). Revenue beats have been consistent in 6 of 8 quarters, with the two misses (Q3 and Q4 2024) both narrow and driven by project timing rather than demand weakness.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substantially all FY2026 guidance on the Q1 call (April 30, 2026) — the first post-Q1 revision — and explicitly noted the back half was raised by $50M beyond the Q1 beat itself; no further formal guidance changes have been issued since, and tone at May/June investor conferences was consistent with the raised framework.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Revenue</w:t>
            </w:r>
          </w:p>
        </w:tc>
        <w:tc>
          <w:tcPr>
            <w:tcW w:type="dxa" w:w="1728"/>
          </w:tcPr>
          <w:p>
            <w:r>
              <w:rPr>
                <w:rFonts w:ascii="Calibri" w:hAnsi="Calibri"/>
                <w:sz w:val="22"/>
              </w:rPr>
              <w:t>~$33.0–$33.5B (pre-Q1 raise)</w:t>
            </w:r>
          </w:p>
        </w:tc>
        <w:tc>
          <w:tcPr>
            <w:tcW w:type="dxa" w:w="1728"/>
          </w:tcPr>
          <w:p>
            <w:r>
              <w:rPr>
                <w:rFonts w:ascii="Calibri" w:hAnsi="Calibri"/>
                <w:sz w:val="22"/>
              </w:rPr>
              <w:t>$34.7B–$35.2B (midpoint $34.95B)</w:t>
            </w:r>
          </w:p>
        </w:tc>
        <w:tc>
          <w:tcPr>
            <w:tcW w:type="dxa" w:w="1728"/>
          </w:tcPr>
          <w:p>
            <w:r>
              <w:rPr>
                <w:rFonts w:ascii="Calibri" w:hAnsi="Calibri"/>
                <w:sz w:val="22"/>
              </w:rPr>
              <w:t>$35.02B</w:t>
            </w:r>
          </w:p>
        </w:tc>
        <w:tc>
          <w:tcPr>
            <w:tcW w:type="dxa" w:w="1728"/>
          </w:tcPr>
          <w:p>
            <w:r>
              <w:rPr>
                <w:rFonts w:ascii="Calibri" w:hAnsi="Calibri"/>
                <w:sz w:val="22"/>
              </w:rPr>
              <w:t>↑ Raised at Q1 2026 earnings (Apr 30, 2026); driven by record backlog of $48.5B and broad-based segment outperformance</w:t>
            </w:r>
          </w:p>
        </w:tc>
      </w:tr>
      <w:tr>
        <w:tc>
          <w:tcPr>
            <w:tcW w:type="dxa" w:w="1728"/>
          </w:tcPr>
          <w:p>
            <w:r>
              <w:rPr>
                <w:rFonts w:ascii="Calibri" w:hAnsi="Calibri"/>
                <w:sz w:val="22"/>
              </w:rPr>
              <w:t>FY2026 Adjusted EPS</w:t>
            </w:r>
          </w:p>
        </w:tc>
        <w:tc>
          <w:tcPr>
            <w:tcW w:type="dxa" w:w="1728"/>
          </w:tcPr>
          <w:p>
            <w:r>
              <w:rPr>
                <w:rFonts w:ascii="Calibri" w:hAnsi="Calibri"/>
                <w:sz w:val="22"/>
              </w:rPr>
              <w:t>~$12.80–$13.40 (pre-Q1 raise)</w:t>
            </w:r>
          </w:p>
        </w:tc>
        <w:tc>
          <w:tcPr>
            <w:tcW w:type="dxa" w:w="1728"/>
          </w:tcPr>
          <w:p>
            <w:r>
              <w:rPr>
                <w:rFonts w:ascii="Calibri" w:hAnsi="Calibri"/>
                <w:sz w:val="22"/>
              </w:rPr>
              <w:t>$13.55–$14.25 (midpoint $13.90)</w:t>
            </w:r>
          </w:p>
        </w:tc>
        <w:tc>
          <w:tcPr>
            <w:tcW w:type="dxa" w:w="1728"/>
          </w:tcPr>
          <w:p>
            <w:r>
              <w:rPr>
                <w:rFonts w:ascii="Calibri" w:hAnsi="Calibri"/>
                <w:sz w:val="22"/>
              </w:rPr>
              <w:t>$14.04</w:t>
            </w:r>
          </w:p>
        </w:tc>
        <w:tc>
          <w:tcPr>
            <w:tcW w:type="dxa" w:w="1728"/>
          </w:tcPr>
          <w:p>
            <w:r>
              <w:rPr>
                <w:rFonts w:ascii="Calibri" w:hAnsi="Calibri"/>
                <w:sz w:val="22"/>
              </w:rPr>
              <w:t>↑ Raised at Q1 2026 earnings (Apr 30, 2026); CFO confirmed back half raised by $50M beyond Q1 beat; consensus sits above midpoint</w:t>
            </w:r>
          </w:p>
        </w:tc>
      </w:tr>
      <w:tr>
        <w:tc>
          <w:tcPr>
            <w:tcW w:type="dxa" w:w="1728"/>
          </w:tcPr>
          <w:p>
            <w:r>
              <w:rPr>
                <w:rFonts w:ascii="Calibri" w:hAnsi="Calibri"/>
                <w:sz w:val="22"/>
              </w:rPr>
              <w:t>FY2026 Adj. EBITDA</w:t>
            </w:r>
          </w:p>
        </w:tc>
        <w:tc>
          <w:tcPr>
            <w:tcW w:type="dxa" w:w="1728"/>
          </w:tcPr>
          <w:p>
            <w:r>
              <w:rPr>
                <w:rFonts w:ascii="Calibri" w:hAnsi="Calibri"/>
                <w:sz w:val="22"/>
              </w:rPr>
              <w:t>~$3.25–$3.40B (pre-Q1 raise)</w:t>
            </w:r>
          </w:p>
        </w:tc>
        <w:tc>
          <w:tcPr>
            <w:tcW w:type="dxa" w:w="1728"/>
          </w:tcPr>
          <w:p>
            <w:r>
              <w:rPr>
                <w:rFonts w:ascii="Calibri" w:hAnsi="Calibri"/>
                <w:sz w:val="22"/>
              </w:rPr>
              <w:t>$3.49B–$3.65B (midpoint $3.57B)</w:t>
            </w:r>
          </w:p>
        </w:tc>
        <w:tc>
          <w:tcPr>
            <w:tcW w:type="dxa" w:w="1728"/>
          </w:tcPr>
          <w:p>
            <w:r>
              <w:rPr>
                <w:rFonts w:ascii="Calibri" w:hAnsi="Calibri"/>
                <w:sz w:val="22"/>
              </w:rPr>
              <w:t>$3.60B</w:t>
            </w:r>
          </w:p>
        </w:tc>
        <w:tc>
          <w:tcPr>
            <w:tcW w:type="dxa" w:w="1728"/>
          </w:tcPr>
          <w:p>
            <w:r>
              <w:rPr>
                <w:rFonts w:ascii="Calibri" w:hAnsi="Calibri"/>
                <w:sz w:val="22"/>
              </w:rPr>
              <w:t>↑ Raised at Q1 2026 earnings (Apr 30, 2026); consensus slightly above midpoint</w:t>
            </w:r>
          </w:p>
        </w:tc>
      </w:tr>
      <w:tr>
        <w:tc>
          <w:tcPr>
            <w:tcW w:type="dxa" w:w="1728"/>
          </w:tcPr>
          <w:p>
            <w:r>
              <w:rPr>
                <w:rFonts w:ascii="Calibri" w:hAnsi="Calibri"/>
                <w:sz w:val="22"/>
              </w:rPr>
              <w:t>FY2026 Free Cash Flow</w:t>
            </w:r>
          </w:p>
        </w:tc>
        <w:tc>
          <w:tcPr>
            <w:tcW w:type="dxa" w:w="1728"/>
          </w:tcPr>
          <w:p>
            <w:r>
              <w:rPr>
                <w:rFonts w:ascii="Calibri" w:hAnsi="Calibri"/>
                <w:sz w:val="22"/>
              </w:rPr>
              <w:t>$1.55B–$2.05B (midpoint $1.80B)</w:t>
            </w:r>
          </w:p>
        </w:tc>
        <w:tc>
          <w:tcPr>
            <w:tcW w:type="dxa" w:w="1728"/>
          </w:tcPr>
          <w:p>
            <w:r>
              <w:rPr>
                <w:rFonts w:ascii="Calibri" w:hAnsi="Calibri"/>
                <w:sz w:val="22"/>
              </w:rPr>
              <w:t>Unchanged; CFO expressed greater confidence in higher end of range</w:t>
            </w:r>
          </w:p>
        </w:tc>
        <w:tc>
          <w:tcPr>
            <w:tcW w:type="dxa" w:w="1728"/>
          </w:tcPr>
          <w:p>
            <w:r>
              <w:rPr>
                <w:rFonts w:ascii="Calibri" w:hAnsi="Calibri"/>
                <w:sz w:val="22"/>
              </w:rPr>
              <w:t>N/A — not tracked in VA</w:t>
            </w:r>
          </w:p>
        </w:tc>
        <w:tc>
          <w:tcPr>
            <w:tcW w:type="dxa" w:w="1728"/>
          </w:tcPr>
          <w:p>
            <w:r>
              <w:rPr>
                <w:rFonts w:ascii="Calibri" w:hAnsi="Calibri"/>
                <w:sz w:val="22"/>
              </w:rPr>
              <w:t>No formal revision; CFO stated higher confidence in upper end of $500M range at Q1 call</w:t>
            </w:r>
          </w:p>
        </w:tc>
      </w:tr>
      <w:tr>
        <w:tc>
          <w:tcPr>
            <w:tcW w:type="dxa" w:w="1728"/>
          </w:tcPr>
          <w:p>
            <w:r>
              <w:rPr>
                <w:rFonts w:ascii="Calibri" w:hAnsi="Calibri"/>
                <w:sz w:val="22"/>
              </w:rPr>
              <w:t>Technology &amp; Load Center Revenue Growth</w:t>
            </w:r>
          </w:p>
        </w:tc>
        <w:tc>
          <w:tcPr>
            <w:tcW w:type="dxa" w:w="1728"/>
          </w:tcPr>
          <w:p>
            <w:r>
              <w:rPr>
                <w:rFonts w:ascii="Calibri" w:hAnsi="Calibri"/>
                <w:sz w:val="22"/>
              </w:rPr>
              <w:t>~70% YoY growth (prior framework)</w:t>
            </w:r>
          </w:p>
        </w:tc>
        <w:tc>
          <w:tcPr>
            <w:tcW w:type="dxa" w:w="1728"/>
          </w:tcPr>
          <w:p>
            <w:r>
              <w:rPr>
                <w:rFonts w:ascii="Calibri" w:hAnsi="Calibri"/>
                <w:sz w:val="22"/>
              </w:rPr>
              <w:t>~110% YoY growth (raised at Q1 call)</w:t>
            </w:r>
          </w:p>
        </w:tc>
        <w:tc>
          <w:tcPr>
            <w:tcW w:type="dxa" w:w="1728"/>
          </w:tcPr>
          <w:p>
            <w:r>
              <w:rPr>
                <w:rFonts w:ascii="Calibri" w:hAnsi="Calibri"/>
                <w:sz w:val="22"/>
              </w:rPr>
              <w:t>N/A — directional only</w:t>
            </w:r>
          </w:p>
        </w:tc>
        <w:tc>
          <w:tcPr>
            <w:tcW w:type="dxa" w:w="1728"/>
          </w:tcPr>
          <w:p>
            <w:r>
              <w:rPr>
                <w:rFonts w:ascii="Calibri" w:hAnsi="Calibri"/>
                <w:sz w:val="22"/>
              </w:rPr>
              <w:t>↑ Substantially raised at Q1 2026 earnings; CEO noted 100%+ growth driven by acquisitions and organic momentum</w:t>
            </w:r>
          </w:p>
        </w:tc>
      </w:tr>
    </w:tbl>
    <w:p>
      <w:r>
        <w:rPr>
          <w:rFonts w:ascii="Calibri" w:hAnsi="Calibri"/>
          <w:color w:val="525866"/>
          <w:sz w:val="22"/>
        </w:rPr>
        <w:t>Sources: Q1 2026 Earnings Release and Earnings Call Transcript (April 30, 2026); Visible Alpha Consensus and Actuals Data (current consensus figures). Post-Q1 investor conferences (KeyBanc May 27, Bernstein May 28, Truist June 16, TD Cowen June 17) were attended by CEO Duke Austin and/or CFO Jayshree Desai but produced no formal guidance revisions.</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higher since the Q1 print for both Q2 and FY2026, tracking guidance rather than diverging — the gap between consensus and guidance midpoint is narrow and represents a slight cushion rather than a risk; the more meaningful observation is that FY2026 consensus ($14.04 EPS) now sits above the guidance midpoint ($13.90), implying the Street is already pricing in a modest beat-and-raise.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7,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 30)</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$8.52B</w:t>
            </w:r>
          </w:p>
        </w:tc>
        <w:tc>
          <w:tcPr>
            <w:tcW w:type="dxa" w:w="1080"/>
          </w:tcPr>
          <w:p>
            <w:r>
              <w:rPr>
                <w:rFonts w:ascii="Calibri" w:hAnsi="Calibri"/>
                <w:sz w:val="22"/>
              </w:rPr>
              <w:t>$8.53B</w:t>
            </w:r>
          </w:p>
        </w:tc>
        <w:tc>
          <w:tcPr>
            <w:tcW w:type="dxa" w:w="1080"/>
          </w:tcPr>
          <w:p>
            <w:r>
              <w:rPr>
                <w:rFonts w:ascii="Calibri" w:hAnsi="Calibri"/>
                <w:sz w:val="22"/>
              </w:rPr>
              <w:t>+0.1%</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Q2 2026</w:t>
            </w:r>
          </w:p>
        </w:tc>
        <w:tc>
          <w:tcPr>
            <w:tcW w:type="dxa" w:w="1080"/>
          </w:tcPr>
          <w:p>
            <w:r>
              <w:rPr>
                <w:rFonts w:ascii="Calibri" w:hAnsi="Calibri"/>
                <w:sz w:val="22"/>
              </w:rPr>
              <w:t>$3.27</w:t>
            </w:r>
          </w:p>
        </w:tc>
        <w:tc>
          <w:tcPr>
            <w:tcW w:type="dxa" w:w="1080"/>
          </w:tcPr>
          <w:p>
            <w:r>
              <w:rPr>
                <w:rFonts w:ascii="Calibri" w:hAnsi="Calibri"/>
                <w:sz w:val="22"/>
              </w:rPr>
              <w:t>$3.28</w:t>
            </w:r>
          </w:p>
        </w:tc>
        <w:tc>
          <w:tcPr>
            <w:tcW w:type="dxa" w:w="1080"/>
          </w:tcPr>
          <w:p>
            <w:r>
              <w:rPr>
                <w:rFonts w:ascii="Calibri" w:hAnsi="Calibri"/>
                <w:sz w:val="22"/>
              </w:rPr>
              <w:t>+0.3%</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FY2026</w:t>
            </w:r>
          </w:p>
        </w:tc>
        <w:tc>
          <w:tcPr>
            <w:tcW w:type="dxa" w:w="1080"/>
          </w:tcPr>
          <w:p>
            <w:r>
              <w:rPr>
                <w:rFonts w:ascii="Calibri" w:hAnsi="Calibri"/>
                <w:sz w:val="22"/>
              </w:rPr>
              <w:t>$34.99B</w:t>
            </w:r>
          </w:p>
        </w:tc>
        <w:tc>
          <w:tcPr>
            <w:tcW w:type="dxa" w:w="1080"/>
          </w:tcPr>
          <w:p>
            <w:r>
              <w:rPr>
                <w:rFonts w:ascii="Calibri" w:hAnsi="Calibri"/>
                <w:sz w:val="22"/>
              </w:rPr>
              <w:t>$35.02B</w:t>
            </w:r>
          </w:p>
        </w:tc>
        <w:tc>
          <w:tcPr>
            <w:tcW w:type="dxa" w:w="1080"/>
          </w:tcPr>
          <w:p>
            <w:r>
              <w:rPr>
                <w:rFonts w:ascii="Calibri" w:hAnsi="Calibri"/>
                <w:sz w:val="22"/>
              </w:rPr>
              <w:t>+0.1%</w:t>
            </w:r>
          </w:p>
        </w:tc>
        <w:tc>
          <w:tcPr>
            <w:tcW w:type="dxa" w:w="1080"/>
          </w:tcPr>
          <w:p>
            <w:r>
              <w:rPr>
                <w:rFonts w:ascii="Calibri" w:hAnsi="Calibri"/>
                <w:sz w:val="22"/>
              </w:rPr>
              <w:t>$34.7B–$35.2B (mid: $34.95B)</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+0.2% above midpoint</w:t>
            </w:r>
          </w:p>
        </w:tc>
      </w:tr>
      <w:tr>
        <w:tc>
          <w:tcPr>
            <w:tcW w:type="dxa" w:w="1080"/>
          </w:tcPr>
          <w:p>
            <w:r>
              <w:rPr>
                <w:rFonts w:ascii="Calibri" w:hAnsi="Calibri"/>
                <w:sz w:val="22"/>
              </w:rPr>
              <w:t>Adj. EPS — FY2026</w:t>
            </w:r>
          </w:p>
        </w:tc>
        <w:tc>
          <w:tcPr>
            <w:tcW w:type="dxa" w:w="1080"/>
          </w:tcPr>
          <w:p>
            <w:r>
              <w:rPr>
                <w:rFonts w:ascii="Calibri" w:hAnsi="Calibri"/>
                <w:sz w:val="22"/>
              </w:rPr>
              <w:t>$13.998</w:t>
            </w:r>
          </w:p>
        </w:tc>
        <w:tc>
          <w:tcPr>
            <w:tcW w:type="dxa" w:w="1080"/>
          </w:tcPr>
          <w:p>
            <w:r>
              <w:rPr>
                <w:rFonts w:ascii="Calibri" w:hAnsi="Calibri"/>
                <w:sz w:val="22"/>
              </w:rPr>
              <w:t>$14.04</w:t>
            </w:r>
          </w:p>
        </w:tc>
        <w:tc>
          <w:tcPr>
            <w:tcW w:type="dxa" w:w="1080"/>
          </w:tcPr>
          <w:p>
            <w:r>
              <w:rPr>
                <w:rFonts w:ascii="Calibri" w:hAnsi="Calibri"/>
                <w:sz w:val="22"/>
              </w:rPr>
              <w:t>+0.3%</w:t>
            </w:r>
          </w:p>
        </w:tc>
        <w:tc>
          <w:tcPr>
            <w:tcW w:type="dxa" w:w="1080"/>
          </w:tcPr>
          <w:p>
            <w:r>
              <w:rPr>
                <w:rFonts w:ascii="Calibri" w:hAnsi="Calibri"/>
                <w:sz w:val="22"/>
              </w:rPr>
              <w:t>$13.55–$14.25 (mid: $13.90)</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+1.0% above midpoint</w:t>
            </w:r>
          </w:p>
        </w:tc>
      </w:tr>
      <w:tr>
        <w:tc>
          <w:tcPr>
            <w:tcW w:type="dxa" w:w="1080"/>
          </w:tcPr>
          <w:p>
            <w:r>
              <w:rPr>
                <w:rFonts w:ascii="Calibri" w:hAnsi="Calibri"/>
                <w:sz w:val="22"/>
              </w:rPr>
              <w:t>Adj. EBITDA — FY2026</w:t>
            </w:r>
          </w:p>
        </w:tc>
        <w:tc>
          <w:tcPr>
            <w:tcW w:type="dxa" w:w="1080"/>
          </w:tcPr>
          <w:p>
            <w:r>
              <w:rPr>
                <w:rFonts w:ascii="Calibri" w:hAnsi="Calibri"/>
                <w:sz w:val="22"/>
              </w:rPr>
              <w:t>$3.582B</w:t>
            </w:r>
          </w:p>
        </w:tc>
        <w:tc>
          <w:tcPr>
            <w:tcW w:type="dxa" w:w="1080"/>
          </w:tcPr>
          <w:p>
            <w:r>
              <w:rPr>
                <w:rFonts w:ascii="Calibri" w:hAnsi="Calibri"/>
                <w:sz w:val="22"/>
              </w:rPr>
              <w:t>$3.597B</w:t>
            </w:r>
          </w:p>
        </w:tc>
        <w:tc>
          <w:tcPr>
            <w:tcW w:type="dxa" w:w="1080"/>
          </w:tcPr>
          <w:p>
            <w:r>
              <w:rPr>
                <w:rFonts w:ascii="Calibri" w:hAnsi="Calibri"/>
                <w:sz w:val="22"/>
              </w:rPr>
              <w:t>+0.4%</w:t>
            </w:r>
          </w:p>
        </w:tc>
        <w:tc>
          <w:tcPr>
            <w:tcW w:type="dxa" w:w="1080"/>
          </w:tcPr>
          <w:p>
            <w:r>
              <w:rPr>
                <w:rFonts w:ascii="Calibri" w:hAnsi="Calibri"/>
                <w:sz w:val="22"/>
              </w:rPr>
              <w:t>$3.49B–$3.65B (mid: $3.57B)</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+0.8% above midpoint</w:t>
            </w:r>
          </w:p>
        </w:tc>
      </w:tr>
      <w:tr>
        <w:tc>
          <w:tcPr>
            <w:tcW w:type="dxa" w:w="1080"/>
          </w:tcPr>
          <w:p>
            <w:r>
              <w:rPr>
                <w:rFonts w:ascii="Calibri" w:hAnsi="Calibri"/>
                <w:sz w:val="22"/>
              </w:rPr>
              <w:t>Backlog — Q2 2026</w:t>
            </w:r>
          </w:p>
        </w:tc>
        <w:tc>
          <w:tcPr>
            <w:tcW w:type="dxa" w:w="1080"/>
          </w:tcPr>
          <w:p>
            <w:r>
              <w:rPr>
                <w:rFonts w:ascii="Calibri" w:hAnsi="Calibri"/>
                <w:sz w:val="22"/>
              </w:rPr>
              <w:t>$49.5B</w:t>
            </w:r>
          </w:p>
        </w:tc>
        <w:tc>
          <w:tcPr>
            <w:tcW w:type="dxa" w:w="1080"/>
          </w:tcPr>
          <w:p>
            <w:r>
              <w:rPr>
                <w:rFonts w:ascii="Calibri" w:hAnsi="Calibri"/>
                <w:sz w:val="22"/>
              </w:rPr>
              <w:t>$49.2B</w:t>
            </w:r>
          </w:p>
        </w:tc>
        <w:tc>
          <w:tcPr>
            <w:tcW w:type="dxa" w:w="1080"/>
          </w:tcPr>
          <w:p>
            <w:r>
              <w:rPr>
                <w:rFonts w:ascii="Calibri" w:hAnsi="Calibri"/>
                <w:sz w:val="22"/>
              </w:rPr>
              <w:t>−0.6%</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FY2027</w:t>
            </w:r>
          </w:p>
        </w:tc>
        <w:tc>
          <w:tcPr>
            <w:tcW w:type="dxa" w:w="1080"/>
          </w:tcPr>
          <w:p>
            <w:r>
              <w:rPr>
                <w:rFonts w:ascii="Calibri" w:hAnsi="Calibri"/>
                <w:sz w:val="22"/>
              </w:rPr>
              <w:t>$16.31</w:t>
            </w:r>
          </w:p>
        </w:tc>
        <w:tc>
          <w:tcPr>
            <w:tcW w:type="dxa" w:w="1080"/>
          </w:tcPr>
          <w:p>
            <w:r>
              <w:rPr>
                <w:rFonts w:ascii="Calibri" w:hAnsi="Calibri"/>
                <w:sz w:val="22"/>
              </w:rPr>
              <w:t>$16.43</w:t>
            </w:r>
          </w:p>
        </w:tc>
        <w:tc>
          <w:tcPr>
            <w:tcW w:type="dxa" w:w="1080"/>
          </w:tcPr>
          <w:p>
            <w:r>
              <w:rPr>
                <w:rFonts w:ascii="Calibri" w:hAnsi="Calibri"/>
                <w:sz w:val="22"/>
              </w:rPr>
              <w:t>+0.7%</w:t>
            </w:r>
          </w:p>
        </w:tc>
        <w:tc>
          <w:tcPr>
            <w:tcW w:type="dxa" w:w="1080"/>
          </w:tcPr>
          <w:p>
            <w:r>
              <w:rPr>
                <w:rFonts w:ascii="Calibri" w:hAnsi="Calibri"/>
                <w:sz w:val="22"/>
              </w:rPr>
              <w:t>No formal FY2027 guidance</w:t>
            </w:r>
          </w:p>
        </w:tc>
        <w:tc>
          <w:tcPr>
            <w:tcW w:type="dxa" w:w="1080"/>
          </w:tcPr>
          <w:p>
            <w:r>
              <w:rPr>
                <w:rFonts w:ascii="Calibri" w:hAnsi="Calibri"/>
                <w:sz w:val="22"/>
              </w:rPr>
              <w:t>No formal FY2027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Estimates have been remarkably stable since the Q1 print, with virtually no revision activity (≤0.4% moves across all KPIs), suggesting the Street has high conviction in the raised guidance framework and is not pricing in incremental upside or downside. The slight premium of consensus to guidance midpoint on EPS (+1.0%) implies the market expects a modest beat-and-raise, which sets a slightly higher bar than the guidance alone would suggest.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PWR's ~23% decline from its post-Q1 peak has been driven almost entirely by multiple compression (NTM EV/EBITDA from ~28.5x to ~24.3x, a ~15% contraction) rather than estimate cuts, as the stock de-rated alongside broader industrial sector rotation and tech-adjacent growth stock selling; the stock has significantly underperformed XLI over the past 1–3 months, creating a more attractive entry point relative to fundamentals.</w:t>
      </w:r>
    </w:p>
    <w:p>
      <w:r>
        <w:rPr>
          <w:rFonts w:ascii="Calibri" w:hAnsi="Calibri"/>
          <w:color w:val="525866"/>
          <w:sz w:val="22"/>
        </w:rPr>
        <w:t>Since Q1 2026 earnings (April 30, 2026), PWR has declined from $727.77 to $588.36 as of July 28, 2026 (−19.1%), while XLI gained +4.5% and SPY gained +3.1% over the same period. The underperformance is concentrated in two phases: (1) a sharp sell-off from the ~$785 peak in early May through mid-June as the stock de-rated from its post-earnings euphoria, and (2) a second leg lower in July as broader market rotation away from high-multiple industrials accelerated. Critically, NTM EPS estimates moved only marginally (≤0.3%) over this period, confirming the decline is a valuation story, not a fundamental one. At current levels, PWR trades at ~24.3x NTM EV/EBITDA and ~53x NTM P/E — still a premium to peers but meaningfully below the ~28–30x range it commanded post-Q1. Source: Stock Price Data (Yahoo Finance); Stock Performance Decomposition Data.</w:t>
      </w:r>
    </w:p>
    <w:p>
      <w:pPr>
        <w:pStyle w:val="Heading3"/>
      </w:pPr>
      <w:r>
        <w:rPr>
          <w:rFonts w:ascii="Calibri" w:hAnsi="Calibri"/>
          <w:b/>
          <w:color w:val="3B4259"/>
          <w:sz w:val="24"/>
        </w:rPr>
        <w:t>PWR vs. XLI vs. S&amp;P 500 — Indexed Performance Since Q1 2026 Earnings (April 30,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PWR (Indexed)</w:t>
            </w:r>
          </w:p>
        </w:tc>
        <w:tc>
          <w:tcPr>
            <w:tcW w:type="dxa" w:w="2160"/>
            <w:shd w:val="clear" w:color="auto" w:fill="3B4259"/>
          </w:tcPr>
          <w:p>
            <w:r>
              <w:rPr>
                <w:rFonts w:ascii="Calibri" w:hAnsi="Calibri"/>
                <w:b/>
                <w:color w:val="FFFFFF"/>
                <w:sz w:val="22"/>
              </w:rPr>
              <w:t>XLI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30 (Base = 100)</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6 (Peak ~$785)</w:t>
            </w:r>
          </w:p>
        </w:tc>
        <w:tc>
          <w:tcPr>
            <w:tcW w:type="dxa" w:w="2160"/>
          </w:tcPr>
          <w:p>
            <w:r>
              <w:rPr>
                <w:rFonts w:ascii="Calibri" w:hAnsi="Calibri"/>
                <w:sz w:val="22"/>
              </w:rPr>
              <w:t>107.9</w:t>
            </w:r>
          </w:p>
        </w:tc>
        <w:tc>
          <w:tcPr>
            <w:tcW w:type="dxa" w:w="2160"/>
          </w:tcPr>
          <w:p>
            <w:r>
              <w:rPr>
                <w:rFonts w:ascii="Calibri" w:hAnsi="Calibri"/>
                <w:sz w:val="22"/>
              </w:rPr>
              <w:t>101.3</w:t>
            </w:r>
          </w:p>
        </w:tc>
        <w:tc>
          <w:tcPr>
            <w:tcW w:type="dxa" w:w="2160"/>
          </w:tcPr>
          <w:p>
            <w:r>
              <w:rPr>
                <w:rFonts w:ascii="Calibri" w:hAnsi="Calibri"/>
                <w:sz w:val="22"/>
              </w:rPr>
              <w:t>102.1</w:t>
            </w:r>
          </w:p>
        </w:tc>
      </w:tr>
      <w:tr>
        <w:tc>
          <w:tcPr>
            <w:tcW w:type="dxa" w:w="2160"/>
          </w:tcPr>
          <w:p>
            <w:r>
              <w:rPr>
                <w:rFonts w:ascii="Calibri" w:hAnsi="Calibri"/>
                <w:sz w:val="22"/>
              </w:rPr>
              <w:t>May 18 (Pullback)</w:t>
            </w:r>
          </w:p>
        </w:tc>
        <w:tc>
          <w:tcPr>
            <w:tcW w:type="dxa" w:w="2160"/>
          </w:tcPr>
          <w:p>
            <w:r>
              <w:rPr>
                <w:rFonts w:ascii="Calibri" w:hAnsi="Calibri"/>
                <w:sz w:val="22"/>
              </w:rPr>
              <w:t>99.3</w:t>
            </w:r>
          </w:p>
        </w:tc>
        <w:tc>
          <w:tcPr>
            <w:tcW w:type="dxa" w:w="2160"/>
          </w:tcPr>
          <w:p>
            <w:r>
              <w:rPr>
                <w:rFonts w:ascii="Calibri" w:hAnsi="Calibri"/>
                <w:sz w:val="22"/>
              </w:rPr>
              <w:t>97.8</w:t>
            </w:r>
          </w:p>
        </w:tc>
        <w:tc>
          <w:tcPr>
            <w:tcW w:type="dxa" w:w="2160"/>
          </w:tcPr>
          <w:p>
            <w:r>
              <w:rPr>
                <w:rFonts w:ascii="Calibri" w:hAnsi="Calibri"/>
                <w:sz w:val="22"/>
              </w:rPr>
              <w:t>102.8</w:t>
            </w:r>
          </w:p>
        </w:tc>
      </w:tr>
      <w:tr>
        <w:tc>
          <w:tcPr>
            <w:tcW w:type="dxa" w:w="2160"/>
          </w:tcPr>
          <w:p>
            <w:r>
              <w:rPr>
                <w:rFonts w:ascii="Calibri" w:hAnsi="Calibri"/>
                <w:sz w:val="22"/>
              </w:rPr>
              <w:t>Jun 10 (Trough ~$651)</w:t>
            </w:r>
          </w:p>
        </w:tc>
        <w:tc>
          <w:tcPr>
            <w:tcW w:type="dxa" w:w="2160"/>
          </w:tcPr>
          <w:p>
            <w:r>
              <w:rPr>
                <w:rFonts w:ascii="Calibri" w:hAnsi="Calibri"/>
                <w:sz w:val="22"/>
              </w:rPr>
              <w:t>89.4</w:t>
            </w:r>
          </w:p>
        </w:tc>
        <w:tc>
          <w:tcPr>
            <w:tcW w:type="dxa" w:w="2160"/>
          </w:tcPr>
          <w:p>
            <w:r>
              <w:rPr>
                <w:rFonts w:ascii="Calibri" w:hAnsi="Calibri"/>
                <w:sz w:val="22"/>
              </w:rPr>
              <w:t>97.2</w:t>
            </w:r>
          </w:p>
        </w:tc>
        <w:tc>
          <w:tcPr>
            <w:tcW w:type="dxa" w:w="2160"/>
          </w:tcPr>
          <w:p>
            <w:r>
              <w:rPr>
                <w:rFonts w:ascii="Calibri" w:hAnsi="Calibri"/>
                <w:sz w:val="22"/>
              </w:rPr>
              <w:t>100.9</w:t>
            </w:r>
          </w:p>
        </w:tc>
      </w:tr>
      <w:tr>
        <w:tc>
          <w:tcPr>
            <w:tcW w:type="dxa" w:w="2160"/>
          </w:tcPr>
          <w:p>
            <w:r>
              <w:rPr>
                <w:rFonts w:ascii="Calibri" w:hAnsi="Calibri"/>
                <w:sz w:val="22"/>
              </w:rPr>
              <w:t>Jun 30</w:t>
            </w:r>
          </w:p>
        </w:tc>
        <w:tc>
          <w:tcPr>
            <w:tcW w:type="dxa" w:w="2160"/>
          </w:tcPr>
          <w:p>
            <w:r>
              <w:rPr>
                <w:rFonts w:ascii="Calibri" w:hAnsi="Calibri"/>
                <w:sz w:val="22"/>
              </w:rPr>
              <w:t>99.0</w:t>
            </w:r>
          </w:p>
        </w:tc>
        <w:tc>
          <w:tcPr>
            <w:tcW w:type="dxa" w:w="2160"/>
          </w:tcPr>
          <w:p>
            <w:r>
              <w:rPr>
                <w:rFonts w:ascii="Calibri" w:hAnsi="Calibri"/>
                <w:sz w:val="22"/>
              </w:rPr>
              <w:t>106.1</w:t>
            </w:r>
          </w:p>
        </w:tc>
        <w:tc>
          <w:tcPr>
            <w:tcW w:type="dxa" w:w="2160"/>
          </w:tcPr>
          <w:p>
            <w:r>
              <w:rPr>
                <w:rFonts w:ascii="Calibri" w:hAnsi="Calibri"/>
                <w:sz w:val="22"/>
              </w:rPr>
              <w:t>103.9</w:t>
            </w:r>
          </w:p>
        </w:tc>
      </w:tr>
      <w:tr>
        <w:tc>
          <w:tcPr>
            <w:tcW w:type="dxa" w:w="2160"/>
          </w:tcPr>
          <w:p>
            <w:r>
              <w:rPr>
                <w:rFonts w:ascii="Calibri" w:hAnsi="Calibri"/>
                <w:sz w:val="22"/>
              </w:rPr>
              <w:t>Jul 16</w:t>
            </w:r>
          </w:p>
        </w:tc>
        <w:tc>
          <w:tcPr>
            <w:tcW w:type="dxa" w:w="2160"/>
          </w:tcPr>
          <w:p>
            <w:r>
              <w:rPr>
                <w:rFonts w:ascii="Calibri" w:hAnsi="Calibri"/>
                <w:sz w:val="22"/>
              </w:rPr>
              <w:t>86.7</w:t>
            </w:r>
          </w:p>
        </w:tc>
        <w:tc>
          <w:tcPr>
            <w:tcW w:type="dxa" w:w="2160"/>
          </w:tcPr>
          <w:p>
            <w:r>
              <w:rPr>
                <w:rFonts w:ascii="Calibri" w:hAnsi="Calibri"/>
                <w:sz w:val="22"/>
              </w:rPr>
              <w:t>103.2</w:t>
            </w:r>
          </w:p>
        </w:tc>
        <w:tc>
          <w:tcPr>
            <w:tcW w:type="dxa" w:w="2160"/>
          </w:tcPr>
          <w:p>
            <w:r>
              <w:rPr>
                <w:rFonts w:ascii="Calibri" w:hAnsi="Calibri"/>
                <w:sz w:val="22"/>
              </w:rPr>
              <w:t>104.5</w:t>
            </w:r>
          </w:p>
        </w:tc>
      </w:tr>
      <w:tr>
        <w:tc>
          <w:tcPr>
            <w:tcW w:type="dxa" w:w="2160"/>
          </w:tcPr>
          <w:p>
            <w:r>
              <w:rPr>
                <w:rFonts w:ascii="Calibri" w:hAnsi="Calibri"/>
                <w:sz w:val="22"/>
              </w:rPr>
              <w:t>Jul 28 (Latest)</w:t>
            </w:r>
          </w:p>
        </w:tc>
        <w:tc>
          <w:tcPr>
            <w:tcW w:type="dxa" w:w="2160"/>
          </w:tcPr>
          <w:p>
            <w:r>
              <w:rPr>
                <w:rFonts w:ascii="Calibri" w:hAnsi="Calibri"/>
                <w:sz w:val="22"/>
              </w:rPr>
              <w:t>80.8</w:t>
            </w:r>
          </w:p>
        </w:tc>
        <w:tc>
          <w:tcPr>
            <w:tcW w:type="dxa" w:w="2160"/>
          </w:tcPr>
          <w:p>
            <w:r>
              <w:rPr>
                <w:rFonts w:ascii="Calibri" w:hAnsi="Calibri"/>
                <w:sz w:val="22"/>
              </w:rPr>
              <w:t>104.5</w:t>
            </w:r>
          </w:p>
        </w:tc>
        <w:tc>
          <w:tcPr>
            <w:tcW w:type="dxa" w:w="2160"/>
          </w:tcPr>
          <w:p>
            <w:r>
              <w:rPr>
                <w:rFonts w:ascii="Calibri" w:hAnsi="Calibri"/>
                <w:sz w:val="22"/>
              </w:rPr>
              <w:t>103.1</w:t>
            </w:r>
          </w:p>
        </w:tc>
      </w:tr>
    </w:tbl>
    <w:p>
      <w:r>
        <w:rPr>
          <w:rFonts w:ascii="Calibri" w:hAnsi="Calibri"/>
          <w:color w:val="525866"/>
          <w:sz w:val="22"/>
        </w:rPr>
        <w:t>Note: Indexed to 100 at April 30, 2026 (Q1 2026 earnings date). Key events: (1) Post-Q1 euphoria peak ~May 6 at ~$785; (2) Broad industrial/growth de-rating through June 10 trough ~$651; (3) Partial recovery to ~$720 by June 30; (4) Second leg lower in July as high-multiple industrials sold off, reaching ~$588 by July 28.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continued acceleration of hyperscaler CapEx commitments and the formal announcement of Q2 earnings on July 30 — no negative pre-announcements or guidance cuts have been issued, which itself is a positive signal given the stock's ~23% decline from peak.</w:t>
      </w:r>
    </w:p>
    <w:p>
      <w:pPr>
        <w:pStyle w:val="ListBullet"/>
        <w:ind w:left="360" w:hanging="360"/>
      </w:pPr>
      <w:r>
        <w:rPr>
          <w:rFonts w:ascii="Calibri" w:hAnsi="Calibri"/>
          <w:b/>
          <w:color w:val="525866"/>
          <w:sz w:val="22"/>
        </w:rPr>
        <w:t>July 30, 2026 — Q2 2026 Earnings Release Scheduled (Before Market Open):</w:t>
      </w:r>
      <w:r>
        <w:rPr>
          <w:rFonts w:ascii="Calibri" w:hAnsi="Calibri"/>
          <w:color w:val="525866"/>
          <w:sz w:val="22"/>
        </w:rPr>
        <w:t xml:space="preserve"> Quanta confirmed Q2 results will be released July 30 before the open, with a webcast at 9:00 a.m. ET. No pre-announcement or guidance warning has been issued. Source: Quanta Services Press Release, July 10, 2026.</w:t>
      </w:r>
    </w:p>
    <w:p>
      <w:pPr>
        <w:pStyle w:val="ListBullet"/>
        <w:ind w:left="360" w:hanging="360"/>
      </w:pPr>
      <w:r>
        <w:rPr>
          <w:rFonts w:ascii="Calibri" w:hAnsi="Calibri"/>
          <w:b/>
          <w:color w:val="525866"/>
          <w:sz w:val="22"/>
        </w:rPr>
        <w:t>May 27–June 17, 2026 — Management Investor Conference Circuit:</w:t>
      </w:r>
      <w:r>
        <w:rPr>
          <w:rFonts w:ascii="Calibri" w:hAnsi="Calibri"/>
          <w:color w:val="525866"/>
          <w:sz w:val="22"/>
        </w:rPr>
        <w:t xml:space="preserve"> CEO Duke Austin and CFO Jayshree Desai participated in four institutional investor conferences (KeyBanc May 27, Bernstein May 28 with live webcast fireside chat, Truist June 16, TD Cowen June 17). No formal guidance revisions were issued at any of these events, consistent with management's post-Q1 raised framework. Source: Quanta Services Press Release, May 19, 2026.</w:t>
      </w:r>
    </w:p>
    <w:p>
      <w:pPr>
        <w:pStyle w:val="ListBullet"/>
        <w:ind w:left="360" w:hanging="360"/>
      </w:pPr>
      <w:r>
        <w:rPr>
          <w:rFonts w:ascii="Calibri" w:hAnsi="Calibri"/>
          <w:b/>
          <w:color w:val="525866"/>
          <w:sz w:val="22"/>
        </w:rPr>
        <w:t>April 30, 2026 — Q1 2026 Beat-and-Raise (Most Recent Earnings):</w:t>
      </w:r>
      <w:r>
        <w:rPr>
          <w:rFonts w:ascii="Calibri" w:hAnsi="Calibri"/>
          <w:color w:val="525866"/>
          <w:sz w:val="22"/>
        </w:rPr>
        <w:t xml:space="preserve"> PWR reported Q1 revenue of $7.87B (+26% YoY, +11.5% vs. consensus) and adjusted EPS of $2.68 (+29.5% vs. consensus) — the largest organic EPS beat in recent history with no acquisitions in the quarter. Management raised substantially all FY2026 guidance, including revenue to $34.7–$35.2B and adjusted EPS to $13.55–$14.25. Record backlog of $48.5B was reported. </w:t>
      </w:r>
      <w:r>
        <w:rPr>
          <w:rFonts w:ascii="Calibri" w:hAnsi="Calibri"/>
          <w:i/>
          <w:color w:val="525866"/>
          <w:sz w:val="22"/>
        </w:rPr>
        <w:t>Implication: Sets a high bar for Q2 but also demonstrates the compounding power of the integrated solutions model.</w:t>
      </w:r>
    </w:p>
    <w:p>
      <w:pPr>
        <w:pStyle w:val="ListBullet"/>
        <w:ind w:left="360" w:hanging="360"/>
      </w:pPr>
      <w:r>
        <w:rPr>
          <w:rFonts w:ascii="Calibri" w:hAnsi="Calibri"/>
          <w:b/>
          <w:color w:val="525866"/>
          <w:sz w:val="22"/>
        </w:rPr>
        <w:t>Ongoing — Hyperscaler CapEx Acceleration:</w:t>
      </w:r>
      <w:r>
        <w:rPr>
          <w:rFonts w:ascii="Calibri" w:hAnsi="Calibri"/>
          <w:color w:val="525866"/>
          <w:sz w:val="22"/>
        </w:rPr>
        <w:t xml:space="preserve"> Multiple hyperscalers have announced increased CapEx for 2026, directly benefiting PWR's technology and load center segment (guided to ~110% YoY growth). CEO Austin confirmed on the Q1 call that data center inbounds are "daily" and the company is targeting 100%+ growth in this segment. </w:t>
      </w:r>
      <w:r>
        <w:rPr>
          <w:rFonts w:ascii="Calibri" w:hAnsi="Calibri"/>
          <w:i/>
          <w:color w:val="525866"/>
          <w:sz w:val="22"/>
        </w:rPr>
        <w:t>Implication: Positive demand read-through for Q2 and beyond.</w:t>
      </w:r>
    </w:p>
    <w:p>
      <w:pPr>
        <w:pStyle w:val="ListBullet"/>
        <w:ind w:left="360" w:hanging="360"/>
      </w:pPr>
      <w:r>
        <w:rPr>
          <w:rFonts w:ascii="Calibri" w:hAnsi="Calibri"/>
          <w:b/>
          <w:color w:val="525866"/>
          <w:sz w:val="22"/>
        </w:rPr>
        <w:t>Q1 2026 — Transformer Manufacturing &amp; Vertical Supply Chain Investment:</w:t>
      </w:r>
      <w:r>
        <w:rPr>
          <w:rFonts w:ascii="Calibri" w:hAnsi="Calibri"/>
          <w:color w:val="525866"/>
          <w:sz w:val="22"/>
        </w:rPr>
        <w:t xml:space="preserve"> Quanta committed multi-hundred-million dollars to double transformer manufacturing capacity and nearly double offsite fabrication/manufacturing footprint to ~6.7M sq ft. Management explicitly highlighted this in the Q1 script as a strategic differentiator for the 765kV AEP transmission build. </w:t>
      </w:r>
      <w:r>
        <w:rPr>
          <w:rFonts w:ascii="Calibri" w:hAnsi="Calibri"/>
          <w:i/>
          <w:color w:val="525866"/>
          <w:sz w:val="22"/>
        </w:rPr>
        <w:t>Implication: Positions PWR to capture large transmission bookings expected to enter backlog in late 2026/early 2027.</w:t>
      </w:r>
    </w:p>
    <w:p>
      <w:pPr>
        <w:pStyle w:val="ListBullet"/>
        <w:ind w:left="360" w:hanging="360"/>
      </w:pPr>
      <w:r>
        <w:rPr>
          <w:rFonts w:ascii="Calibri" w:hAnsi="Calibri"/>
          <w:b/>
          <w:color w:val="525866"/>
          <w:sz w:val="22"/>
        </w:rPr>
        <w:t>Q1 2026 — NiSource Total Solutions Platform:</w:t>
      </w:r>
      <w:r>
        <w:rPr>
          <w:rFonts w:ascii="Calibri" w:hAnsi="Calibri"/>
          <w:color w:val="525866"/>
          <w:sz w:val="22"/>
        </w:rPr>
        <w:t xml:space="preserve"> Quanta announced a concrete Total Solutions platform with major utility customer engagement, covering generation, storage, transmission, and underground infrastructure. This represents a shift from concept to execution. </w:t>
      </w:r>
      <w:r>
        <w:rPr>
          <w:rFonts w:ascii="Calibri" w:hAnsi="Calibri"/>
          <w:i/>
          <w:color w:val="525866"/>
          <w:sz w:val="22"/>
        </w:rPr>
        <w:t>Implication: Potential for large, multi-year integrated project bookings that could accelerate backlog growth.</w:t>
      </w:r>
    </w:p>
    <w:p>
      <w:pPr>
        <w:pStyle w:val="ListBullet"/>
        <w:ind w:left="360" w:hanging="360"/>
      </w:pPr>
      <w:r>
        <w:rPr>
          <w:rFonts w:ascii="Calibri" w:hAnsi="Calibri"/>
          <w:b/>
          <w:color w:val="525866"/>
          <w:sz w:val="22"/>
        </w:rPr>
        <w:t>May 5, 2026 — CEO Open Market Stock Sales:</w:t>
      </w:r>
      <w:r>
        <w:rPr>
          <w:rFonts w:ascii="Calibri" w:hAnsi="Calibri"/>
          <w:color w:val="525866"/>
          <w:sz w:val="22"/>
        </w:rPr>
        <w:t xml:space="preserve"> CEO Duke Austin sold 130,000 shares (direct) and 25,992 shares (indirect via C4M3, LLC) on May 5, 2026, at prices near the post-Q1 peak (~$750–$785 range). Chief Accounting Officer Paul Nobel also sold 4,000 shares on May 4, 2026. These were discretionary open-market sales (not 10b5-1 plans). </w:t>
      </w:r>
      <w:r>
        <w:rPr>
          <w:rFonts w:ascii="Calibri" w:hAnsi="Calibri"/>
          <w:i/>
          <w:color w:val="525866"/>
          <w:sz w:val="22"/>
        </w:rPr>
        <w:t>Implication: Notable given the size and timing near the post-earnings peak; however, CEO retains ~556,911 shares directly after the transaction.</w:t>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The CEO's discretionary open-market sale of ~156,000 shares (combined direct + indirect) near the post-Q1 peak is notable in size and timing, though the retained position of ~556,911 shares remains substantial; no open-market buys have been filed in the period, and no 10b5-1 plan initiations were disclosed.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Earl C. Austin Jr.</w:t>
            </w:r>
          </w:p>
        </w:tc>
        <w:tc>
          <w:tcPr>
            <w:tcW w:type="dxa" w:w="1440"/>
          </w:tcPr>
          <w:p>
            <w:r>
              <w:rPr>
                <w:rFonts w:ascii="Calibri" w:hAnsi="Calibri"/>
                <w:sz w:val="22"/>
              </w:rPr>
              <w:t>President &amp; CEO, Director</w:t>
            </w:r>
          </w:p>
        </w:tc>
        <w:tc>
          <w:tcPr>
            <w:tcW w:type="dxa" w:w="1440"/>
          </w:tcPr>
          <w:p>
            <w:r>
              <w:rPr>
                <w:rFonts w:ascii="Calibri" w:hAnsi="Calibri"/>
                <w:sz w:val="22"/>
              </w:rPr>
              <w:t>Open Market Sale (Direct)</w:t>
            </w:r>
          </w:p>
        </w:tc>
        <w:tc>
          <w:tcPr>
            <w:tcW w:type="dxa" w:w="1440"/>
          </w:tcPr>
          <w:p>
            <w:r>
              <w:rPr>
                <w:rFonts w:ascii="Calibri" w:hAnsi="Calibri"/>
                <w:sz w:val="22"/>
              </w:rPr>
              <w:t>130,000 shares</w:t>
            </w:r>
          </w:p>
        </w:tc>
        <w:tc>
          <w:tcPr>
            <w:tcW w:type="dxa" w:w="1440"/>
          </w:tcPr>
          <w:p>
            <w:r>
              <w:rPr>
                <w:rFonts w:ascii="Calibri" w:hAnsi="Calibri"/>
                <w:sz w:val="22"/>
              </w:rPr>
              <w:t>May 5, 2026</w:t>
            </w:r>
          </w:p>
        </w:tc>
        <w:tc>
          <w:tcPr>
            <w:tcW w:type="dxa" w:w="1440"/>
          </w:tcPr>
          <w:p>
            <w:r>
              <w:rPr>
                <w:rFonts w:ascii="Calibri" w:hAnsi="Calibri"/>
                <w:sz w:val="22"/>
              </w:rPr>
              <w:t>Discretionary; not a 10b5-1 plan. Sold near post-Q1 peak. Retains ~556,911 shares directly after transaction.</w:t>
            </w:r>
          </w:p>
        </w:tc>
      </w:tr>
      <w:tr>
        <w:tc>
          <w:tcPr>
            <w:tcW w:type="dxa" w:w="1440"/>
          </w:tcPr>
          <w:p>
            <w:r>
              <w:rPr>
                <w:rFonts w:ascii="Calibri" w:hAnsi="Calibri"/>
                <w:sz w:val="22"/>
              </w:rPr>
              <w:t>Earl C. Austin Jr.</w:t>
            </w:r>
          </w:p>
        </w:tc>
        <w:tc>
          <w:tcPr>
            <w:tcW w:type="dxa" w:w="1440"/>
          </w:tcPr>
          <w:p>
            <w:r>
              <w:rPr>
                <w:rFonts w:ascii="Calibri" w:hAnsi="Calibri"/>
                <w:sz w:val="22"/>
              </w:rPr>
              <w:t>President &amp; CEO, Director</w:t>
            </w:r>
          </w:p>
        </w:tc>
        <w:tc>
          <w:tcPr>
            <w:tcW w:type="dxa" w:w="1440"/>
          </w:tcPr>
          <w:p>
            <w:r>
              <w:rPr>
                <w:rFonts w:ascii="Calibri" w:hAnsi="Calibri"/>
                <w:sz w:val="22"/>
              </w:rPr>
              <w:t>Open Market Sale (Indirect — C4M3, LLC)</w:t>
            </w:r>
          </w:p>
        </w:tc>
        <w:tc>
          <w:tcPr>
            <w:tcW w:type="dxa" w:w="1440"/>
          </w:tcPr>
          <w:p>
            <w:r>
              <w:rPr>
                <w:rFonts w:ascii="Calibri" w:hAnsi="Calibri"/>
                <w:sz w:val="22"/>
              </w:rPr>
              <w:t>25,992 shares</w:t>
            </w:r>
          </w:p>
        </w:tc>
        <w:tc>
          <w:tcPr>
            <w:tcW w:type="dxa" w:w="1440"/>
          </w:tcPr>
          <w:p>
            <w:r>
              <w:rPr>
                <w:rFonts w:ascii="Calibri" w:hAnsi="Calibri"/>
                <w:sz w:val="22"/>
              </w:rPr>
              <w:t>May 5, 2026</w:t>
            </w:r>
          </w:p>
        </w:tc>
        <w:tc>
          <w:tcPr>
            <w:tcW w:type="dxa" w:w="1440"/>
          </w:tcPr>
          <w:p>
            <w:r>
              <w:rPr>
                <w:rFonts w:ascii="Calibri" w:hAnsi="Calibri"/>
                <w:sz w:val="22"/>
              </w:rPr>
              <w:t>Discretionary; not a 10b5-1 plan. Indirect ownership via C4M3, LLC. Remaining indirect position: 12,500 shares.</w:t>
            </w:r>
          </w:p>
        </w:tc>
      </w:tr>
      <w:tr>
        <w:tc>
          <w:tcPr>
            <w:tcW w:type="dxa" w:w="1440"/>
          </w:tcPr>
          <w:p>
            <w:r>
              <w:rPr>
                <w:rFonts w:ascii="Calibri" w:hAnsi="Calibri"/>
                <w:sz w:val="22"/>
              </w:rPr>
              <w:t>Paul Nobel</w:t>
            </w:r>
          </w:p>
        </w:tc>
        <w:tc>
          <w:tcPr>
            <w:tcW w:type="dxa" w:w="1440"/>
          </w:tcPr>
          <w:p>
            <w:r>
              <w:rPr>
                <w:rFonts w:ascii="Calibri" w:hAnsi="Calibri"/>
                <w:sz w:val="22"/>
              </w:rPr>
              <w:t>Chief Accounting Officer &amp; SVP</w:t>
            </w:r>
          </w:p>
        </w:tc>
        <w:tc>
          <w:tcPr>
            <w:tcW w:type="dxa" w:w="1440"/>
          </w:tcPr>
          <w:p>
            <w:r>
              <w:rPr>
                <w:rFonts w:ascii="Calibri" w:hAnsi="Calibri"/>
                <w:sz w:val="22"/>
              </w:rPr>
              <w:t>Open Market Sale (Direct)</w:t>
            </w:r>
          </w:p>
        </w:tc>
        <w:tc>
          <w:tcPr>
            <w:tcW w:type="dxa" w:w="1440"/>
          </w:tcPr>
          <w:p>
            <w:r>
              <w:rPr>
                <w:rFonts w:ascii="Calibri" w:hAnsi="Calibri"/>
                <w:sz w:val="22"/>
              </w:rPr>
              <w:t>4,000 shares</w:t>
            </w:r>
          </w:p>
        </w:tc>
        <w:tc>
          <w:tcPr>
            <w:tcW w:type="dxa" w:w="1440"/>
          </w:tcPr>
          <w:p>
            <w:r>
              <w:rPr>
                <w:rFonts w:ascii="Calibri" w:hAnsi="Calibri"/>
                <w:sz w:val="22"/>
              </w:rPr>
              <w:t>May 4, 2026</w:t>
            </w:r>
          </w:p>
        </w:tc>
        <w:tc>
          <w:tcPr>
            <w:tcW w:type="dxa" w:w="1440"/>
          </w:tcPr>
          <w:p>
            <w:r>
              <w:rPr>
                <w:rFonts w:ascii="Calibri" w:hAnsi="Calibri"/>
                <w:sz w:val="22"/>
              </w:rPr>
              <w:t>Discretionary; not a 10b5-1 plan. Retains 8,035 shares after transaction.</w:t>
            </w:r>
          </w:p>
        </w:tc>
      </w:tr>
    </w:tbl>
    <w:p>
      <w:r>
        <w:rPr>
          <w:rFonts w:ascii="Calibri" w:hAnsi="Calibri"/>
          <w:color w:val="525866"/>
          <w:sz w:val="22"/>
        </w:rPr>
        <w:t>All three transactions were discretionary open-market sales (Form 4, transaction code S) with no 10b5-1 plan designation. The CEO's combined sale of ~155,992 shares (direct + indirect) on May 5, 2026 — just five days after the Q1 beat-and-raise — is the most notable signal, though the retained direct position of ~556,911 shares remains large. No open-market purchases were filed in the period. Source: Insider Transaction Data (SEC Form 4 Filings).</w:t>
      </w:r>
    </w:p>
    <w:p>
      <w:r>
        <w:br w:type="page"/>
      </w:r>
    </w:p>
    <w:p>
      <w:pPr>
        <w:pStyle w:val="Heading2"/>
      </w:pPr>
      <w:r>
        <w:rPr>
          <w:rFonts w:ascii="Calibri" w:hAnsi="Calibri"/>
          <w:b/>
          <w:color w:val="3B4259"/>
          <w:sz w:val="28"/>
        </w:rPr>
        <w:t>8. Peer Commentary &amp; Read-Throughs (Last 60 Days)</w:t>
      </w:r>
    </w:p>
    <w:p>
      <w:r>
        <w:rPr>
          <w:rFonts w:ascii="Calibri" w:hAnsi="Calibri"/>
          <w:b/>
          <w:color w:val="525866"/>
          <w:sz w:val="22"/>
        </w:rPr>
        <w:t xml:space="preserve">Key Takeaway: </w:t>
      </w:r>
      <w:r>
        <w:rPr>
          <w:rFonts w:ascii="Calibri" w:hAnsi="Calibri"/>
          <w:color w:val="525866"/>
          <w:sz w:val="22"/>
        </w:rPr>
        <w:t>Peer commentary from May–July 2026 is overwhelmingly positive for PWR's Q2 setup — FIX, EME, DY, STRL, and MYRG all point to record or near-record backlogs, robust data center demand, and strong forward pipelines; the only mixed signal comes from PRIM, which flagged Q2 EBITDA near break-even due to isolated renewables project issues, but explicitly described gas power generation and transmission as strong secular growth drivers.</w:t>
      </w:r>
    </w:p>
    <w:p>
      <w:r>
        <w:rPr>
          <w:rFonts w:ascii="Calibri" w:hAnsi="Calibri"/>
          <w:b/>
          <w:color w:val="525866"/>
          <w:sz w:val="22"/>
        </w:rPr>
        <w:t xml:space="preserve">Scope note: </w:t>
      </w:r>
      <w:r>
        <w:rPr>
          <w:rFonts w:ascii="Calibri" w:hAnsi="Calibri"/>
          <w:color w:val="525866"/>
          <w:sz w:val="22"/>
        </w:rPr>
        <w:t>All commentary below is dated May 30–July 29, 2026 and addresses the current reporting period (Q2 2026) or forward outlook for the remainder of 2026. Backward-looking commentary on completed prior quarters has been excluded.</w:t>
      </w:r>
    </w:p>
    <w:p>
      <w:pPr>
        <w:pStyle w:val="Heading3"/>
      </w:pPr>
      <w:r>
        <w:rPr>
          <w:rFonts w:ascii="Calibri" w:hAnsi="Calibri"/>
          <w:b/>
          <w:color w:val="3B4259"/>
          <w:sz w:val="24"/>
        </w:rPr>
        <w:t>FIX — Comfort Systems USA | Q2 2026 Earnings Call (July 24, 2026)</w:t>
      </w:r>
    </w:p>
    <w:p>
      <w:r>
        <w:rPr>
          <w:rFonts w:ascii="Calibri" w:hAnsi="Calibri"/>
          <w:b/>
          <w:color w:val="30A46C"/>
          <w:sz w:val="22"/>
        </w:rPr>
        <w:t xml:space="preserve">Overall PWR Read-Through: </w:t>
      </w:r>
      <w:r>
        <w:rPr>
          <w:rFonts w:ascii="Calibri" w:hAnsi="Calibri"/>
          <w:b/>
          <w:color w:val="525866"/>
          <w:sz w:val="22"/>
        </w:rPr>
        <w:t xml:space="preserve"> Strongly Positive</w:t>
      </w:r>
    </w:p>
    <w:p>
      <w:pPr>
        <w:pStyle w:val="ListBullet"/>
        <w:ind w:left="360" w:hanging="360"/>
      </w:pPr>
      <w:r>
        <w:rPr>
          <w:rFonts w:ascii="Calibri" w:hAnsi="Calibri"/>
          <w:b/>
          <w:color w:val="525866"/>
          <w:sz w:val="22"/>
        </w:rPr>
        <w:t>Demand &amp; Backlog (Positive):</w:t>
      </w:r>
      <w:r>
        <w:rPr>
          <w:rFonts w:ascii="Calibri" w:hAnsi="Calibri"/>
          <w:color w:val="525866"/>
          <w:sz w:val="22"/>
        </w:rPr>
        <w:t xml:space="preserve"> FIX reported a record backlog of $14.1B as of June 30, 2026, up 73% YoY on a same-store basis, with bookings continuing to trend upward. CEO Brian Lane stated: "Demand remains strong, especially in technology, as we continue to book work with good margins." FIX entered Q3 2026 with same-store backlog 69% higher than a year ago. </w:t>
      </w:r>
      <w:r>
        <w:rPr>
          <w:rFonts w:ascii="Calibri" w:hAnsi="Calibri"/>
          <w:i/>
          <w:color w:val="525866"/>
          <w:sz w:val="22"/>
        </w:rPr>
        <w:t>PWR read-through: Record backlog momentum at a direct peer confirms the demand environment for specialized infrastructure services remains robust heading into Q2 results.</w:t>
      </w:r>
    </w:p>
    <w:p>
      <w:pPr>
        <w:pStyle w:val="ListBullet"/>
        <w:ind w:left="360" w:hanging="360"/>
      </w:pPr>
      <w:r>
        <w:rPr>
          <w:rFonts w:ascii="Calibri" w:hAnsi="Calibri"/>
          <w:b/>
          <w:color w:val="525866"/>
          <w:sz w:val="22"/>
        </w:rPr>
        <w:t>Data Centers (Positive):</w:t>
      </w:r>
      <w:r>
        <w:rPr>
          <w:rFonts w:ascii="Calibri" w:hAnsi="Calibri"/>
          <w:color w:val="525866"/>
          <w:sz w:val="22"/>
        </w:rPr>
        <w:t xml:space="preserve"> Technology (including data centers) represented 58% of FIX revenue in H1 2026, up from 40% in the prior year. CFO Bill George stated that hyperscalers have "a very deep and calm certainty among these people that they're going to continue to build" and that FIX sees "no letdown whatsoever." President Trent McKenna added: "These data centers, as many as can be built are going to get built." </w:t>
      </w:r>
      <w:r>
        <w:rPr>
          <w:rFonts w:ascii="Calibri" w:hAnsi="Calibri"/>
          <w:i/>
          <w:color w:val="525866"/>
          <w:sz w:val="22"/>
        </w:rPr>
        <w:t>PWR read-through: Direct confirmation from a peer with hyperscaler relationships that data center demand is durable and accelerating — directly supports PWR's 110% technology/load center revenue growth guidance.</w:t>
      </w:r>
    </w:p>
    <w:p>
      <w:pPr>
        <w:pStyle w:val="ListBullet"/>
        <w:ind w:left="360" w:hanging="360"/>
      </w:pPr>
      <w:r>
        <w:rPr>
          <w:rFonts w:ascii="Calibri" w:hAnsi="Calibri"/>
          <w:b/>
          <w:color w:val="525866"/>
          <w:sz w:val="22"/>
        </w:rPr>
        <w:t>Modular / Prefab Capacity (Positive):</w:t>
      </w:r>
      <w:r>
        <w:rPr>
          <w:rFonts w:ascii="Calibri" w:hAnsi="Calibri"/>
          <w:color w:val="525866"/>
          <w:sz w:val="22"/>
        </w:rPr>
        <w:t xml:space="preserve"> FIX's modular operations are expanding from 3.5M sq ft to 4M sq ft by year-end and ~5M sq ft by late summer 2027, driven by multi-year hyperscaler commitments. Modular bookings of $510M in Q2 2026 covered the burn rate and added $500M net. </w:t>
      </w:r>
      <w:r>
        <w:rPr>
          <w:rFonts w:ascii="Calibri" w:hAnsi="Calibri"/>
          <w:i/>
          <w:color w:val="525866"/>
          <w:sz w:val="22"/>
        </w:rPr>
        <w:t>PWR read-through: Validates PWR's own ~$6.7M sq ft offsite fabrication expansion strategy as a competitive necessity, not a luxury.</w:t>
      </w:r>
    </w:p>
    <w:p>
      <w:pPr>
        <w:pStyle w:val="ListBullet"/>
        <w:ind w:left="360" w:hanging="360"/>
      </w:pPr>
      <w:r>
        <w:rPr>
          <w:rFonts w:ascii="Calibri" w:hAnsi="Calibri"/>
          <w:b/>
          <w:color w:val="525866"/>
          <w:sz w:val="22"/>
        </w:rPr>
        <w:t>Margins (Positive):</w:t>
      </w:r>
      <w:r>
        <w:rPr>
          <w:rFonts w:ascii="Calibri" w:hAnsi="Calibri"/>
          <w:color w:val="525866"/>
          <w:sz w:val="22"/>
        </w:rPr>
        <w:t xml:space="preserve"> CFO George stated: "We believe that gross profit margins are likely to continue in the strong ranges that we have averaged in recent quarters." Full-year 2026 same-store revenue growth guided to mid-to-high 30% range. </w:t>
      </w:r>
      <w:r>
        <w:rPr>
          <w:rFonts w:ascii="Calibri" w:hAnsi="Calibri"/>
          <w:i/>
          <w:color w:val="525866"/>
          <w:sz w:val="22"/>
        </w:rPr>
        <w:t>PWR read-through: Margin sustainability at a peer with similar end-market exposure is a positive signal for PWR's Q2 margin trajectory.</w:t>
      </w:r>
    </w:p>
    <w:p>
      <w:pPr>
        <w:pStyle w:val="ListBullet"/>
        <w:ind w:left="360" w:hanging="360"/>
      </w:pPr>
      <w:r>
        <w:rPr>
          <w:rFonts w:ascii="Calibri" w:hAnsi="Calibri"/>
          <w:b/>
          <w:color w:val="525866"/>
          <w:sz w:val="22"/>
        </w:rPr>
        <w:t>Power / Grid (Mixed):</w:t>
      </w:r>
      <w:r>
        <w:rPr>
          <w:rFonts w:ascii="Calibri" w:hAnsi="Calibri"/>
          <w:color w:val="525866"/>
          <w:sz w:val="22"/>
        </w:rPr>
        <w:t xml:space="preserve"> CEO Lane acknowledged the need to "get the power" to data centers, implicitly flagging power availability as a constraint for the industry. No direct T&amp;D or transmission commentary. </w:t>
      </w:r>
      <w:r>
        <w:rPr>
          <w:rFonts w:ascii="Calibri" w:hAnsi="Calibri"/>
          <w:i/>
          <w:color w:val="525866"/>
          <w:sz w:val="22"/>
        </w:rPr>
        <w:t>PWR read-through: Neutral to slightly positive — power constraints create demand for PWR's core electric infrastructure services.</w:t>
      </w:r>
    </w:p>
    <w:p>
      <w:pPr>
        <w:pStyle w:val="Heading3"/>
      </w:pPr>
      <w:r>
        <w:rPr>
          <w:rFonts w:ascii="Calibri" w:hAnsi="Calibri"/>
          <w:b/>
          <w:color w:val="3B4259"/>
          <w:sz w:val="24"/>
        </w:rPr>
        <w:t>EME — EMCOR Group | William Blair Growth Stock Conference (June 2, 2026)</w:t>
      </w:r>
    </w:p>
    <w:p>
      <w:r>
        <w:rPr>
          <w:rFonts w:ascii="Calibri" w:hAnsi="Calibri"/>
          <w:b/>
          <w:color w:val="525866"/>
          <w:sz w:val="22"/>
        </w:rPr>
        <w:t xml:space="preserve">Overall PWR Read-Through: </w:t>
      </w:r>
      <w:r>
        <w:rPr>
          <w:rFonts w:ascii="Calibri" w:hAnsi="Calibri"/>
          <w:color w:val="525866"/>
          <w:sz w:val="22"/>
        </w:rPr>
        <w:t xml:space="preserve"> Mixed-to-Positive</w:t>
      </w:r>
    </w:p>
    <w:p>
      <w:pPr>
        <w:pStyle w:val="ListBullet"/>
        <w:ind w:left="360" w:hanging="360"/>
      </w:pPr>
      <w:r>
        <w:rPr>
          <w:rFonts w:ascii="Calibri" w:hAnsi="Calibri"/>
          <w:b/>
          <w:color w:val="525866"/>
          <w:sz w:val="22"/>
        </w:rPr>
        <w:t>Guidance &amp; Revenue (Positive):</w:t>
      </w:r>
      <w:r>
        <w:rPr>
          <w:rFonts w:ascii="Calibri" w:hAnsi="Calibri"/>
          <w:color w:val="525866"/>
          <w:sz w:val="22"/>
        </w:rPr>
        <w:t xml:space="preserve"> EME raised full-year 2026 revenue guidance to $18.5–$19.25B and EPS guidance to $28.25–$29.75, with organic growth revised to 9–13% (from initial 9–10%). Management noted: "We've surprised ourselves on the revenue side." Cash flow conversion expected to exceed 80%. </w:t>
      </w:r>
      <w:r>
        <w:rPr>
          <w:rFonts w:ascii="Calibri" w:hAnsi="Calibri"/>
          <w:i/>
          <w:color w:val="525866"/>
          <w:sz w:val="22"/>
        </w:rPr>
        <w:t>PWR read-through: A major peer raising guidance mid-year on volume-driven organic growth confirms the underlying demand environment is stronger than initially modeled.</w:t>
      </w:r>
    </w:p>
    <w:p>
      <w:pPr>
        <w:pStyle w:val="ListBullet"/>
        <w:ind w:left="360" w:hanging="360"/>
      </w:pPr>
      <w:r>
        <w:rPr>
          <w:rFonts w:ascii="Calibri" w:hAnsi="Calibri"/>
          <w:b/>
          <w:color w:val="525866"/>
          <w:sz w:val="22"/>
        </w:rPr>
        <w:t>Demand &amp; Backlog (Positive):</w:t>
      </w:r>
      <w:r>
        <w:rPr>
          <w:rFonts w:ascii="Calibri" w:hAnsi="Calibri"/>
          <w:color w:val="525866"/>
          <w:sz w:val="22"/>
        </w:rPr>
        <w:t xml:space="preserve"> EME reported "record RPO growth" with demand described as "very broad-based" across data centers, high-tech manufacturing, water/wastewater, and food processing. </w:t>
      </w:r>
      <w:r>
        <w:rPr>
          <w:rFonts w:ascii="Calibri" w:hAnsi="Calibri"/>
          <w:i/>
          <w:color w:val="525866"/>
          <w:sz w:val="22"/>
        </w:rPr>
        <w:t>PWR read-through: Broad-based demand across multiple end markets reduces concentration risk and supports PWR's diversified revenue base.</w:t>
      </w:r>
    </w:p>
    <w:p>
      <w:pPr>
        <w:pStyle w:val="ListBullet"/>
        <w:ind w:left="360" w:hanging="360"/>
      </w:pPr>
      <w:r>
        <w:rPr>
          <w:rFonts w:ascii="Calibri" w:hAnsi="Calibri"/>
          <w:b/>
          <w:color w:val="525866"/>
          <w:sz w:val="22"/>
        </w:rPr>
        <w:t>Data Centers (Mixed):</w:t>
      </w:r>
      <w:r>
        <w:rPr>
          <w:rFonts w:ascii="Calibri" w:hAnsi="Calibri"/>
          <w:color w:val="525866"/>
          <w:sz w:val="22"/>
        </w:rPr>
        <w:t xml:space="preserve"> EME noted the AI build-out is introducing "a little more unknowns" in project execution, leading to a shift toward GMP (Guaranteed Maximum Price) contracts that offer "less margin upside because of a full cost disclosure." Management is prioritizing "margin dollars over margin percentages." </w:t>
      </w:r>
      <w:r>
        <w:rPr>
          <w:rFonts w:ascii="Calibri" w:hAnsi="Calibri"/>
          <w:i/>
          <w:color w:val="525866"/>
          <w:sz w:val="22"/>
        </w:rPr>
        <w:t>PWR read-through: Mixed — strong data center demand is confirmed, but the shift to GMP structures could create margin headwinds for the industry if PWR faces similar contract dynamics.</w:t>
      </w:r>
    </w:p>
    <w:p>
      <w:pPr>
        <w:pStyle w:val="ListBullet"/>
        <w:ind w:left="360" w:hanging="360"/>
      </w:pPr>
      <w:r>
        <w:rPr>
          <w:rFonts w:ascii="Calibri" w:hAnsi="Calibri"/>
          <w:b/>
          <w:color w:val="525866"/>
          <w:sz w:val="22"/>
        </w:rPr>
        <w:t>Labor (Positive):</w:t>
      </w:r>
      <w:r>
        <w:rPr>
          <w:rFonts w:ascii="Calibri" w:hAnsi="Calibri"/>
          <w:color w:val="525866"/>
          <w:sz w:val="22"/>
        </w:rPr>
        <w:t xml:space="preserve"> EME stated that skilled field labor is "not our primary constraint" — the bottleneck is field leadership (foremen, project managers, superintendents). The company is actively working with unions to grow local workforces. </w:t>
      </w:r>
      <w:r>
        <w:rPr>
          <w:rFonts w:ascii="Calibri" w:hAnsi="Calibri"/>
          <w:i/>
          <w:color w:val="525866"/>
          <w:sz w:val="22"/>
        </w:rPr>
        <w:t>PWR read-through: Positive signal that craft labor availability may be more manageable than feared, consistent with PWR's own commentary on workforce scalability.</w:t>
      </w:r>
    </w:p>
    <w:p>
      <w:pPr>
        <w:pStyle w:val="ListBullet"/>
        <w:ind w:left="360" w:hanging="360"/>
      </w:pPr>
      <w:r>
        <w:rPr>
          <w:rFonts w:ascii="Calibri" w:hAnsi="Calibri"/>
          <w:b/>
          <w:color w:val="525866"/>
          <w:sz w:val="22"/>
        </w:rPr>
        <w:t>Power / Grid (Neutral):</w:t>
      </w:r>
      <w:r>
        <w:rPr>
          <w:rFonts w:ascii="Calibri" w:hAnsi="Calibri"/>
          <w:color w:val="525866"/>
          <w:sz w:val="22"/>
        </w:rPr>
        <w:t xml:space="preserve"> EME described itself as "mainly a medium voltage contractor" with a "small T&amp;D business" and no EPC power generation work. </w:t>
      </w:r>
      <w:r>
        <w:rPr>
          <w:rFonts w:ascii="Calibri" w:hAnsi="Calibri"/>
          <w:i/>
          <w:color w:val="525866"/>
          <w:sz w:val="22"/>
        </w:rPr>
        <w:t>PWR read-through: Neutral — EME's limited T&amp;D footprint means limited competitive overlap with PWR's core electric infrastructure business.</w:t>
      </w:r>
    </w:p>
    <w:p>
      <w:pPr>
        <w:pStyle w:val="Heading3"/>
      </w:pPr>
      <w:r>
        <w:rPr>
          <w:rFonts w:ascii="Calibri" w:hAnsi="Calibri"/>
          <w:b/>
          <w:color w:val="3B4259"/>
          <w:sz w:val="24"/>
        </w:rPr>
        <w:t>DY — Dycom Industries | Guggenheim Securities Virtual Fireside Chat (July 8, 2026)</w:t>
      </w:r>
    </w:p>
    <w:p>
      <w:r>
        <w:rPr>
          <w:rFonts w:ascii="Calibri" w:hAnsi="Calibri"/>
          <w:b/>
          <w:color w:val="30A46C"/>
          <w:sz w:val="22"/>
        </w:rPr>
        <w:t xml:space="preserve">Overall PWR Read-Through: </w:t>
      </w:r>
      <w:r>
        <w:rPr>
          <w:rFonts w:ascii="Calibri" w:hAnsi="Calibri"/>
          <w:b/>
          <w:color w:val="525866"/>
          <w:sz w:val="22"/>
        </w:rPr>
        <w:t xml:space="preserve"> Strongly Positive</w:t>
      </w:r>
    </w:p>
    <w:p>
      <w:pPr>
        <w:pStyle w:val="ListBullet"/>
        <w:ind w:left="360" w:hanging="360"/>
      </w:pPr>
      <w:r>
        <w:rPr>
          <w:rFonts w:ascii="Calibri" w:hAnsi="Calibri"/>
          <w:b/>
          <w:color w:val="525866"/>
          <w:sz w:val="22"/>
        </w:rPr>
        <w:t>Demand (Strongly Positive):</w:t>
      </w:r>
      <w:r>
        <w:rPr>
          <w:rFonts w:ascii="Calibri" w:hAnsi="Calibri"/>
          <w:color w:val="525866"/>
          <w:sz w:val="22"/>
        </w:rPr>
        <w:t xml:space="preserve"> CEO Daniel Peyovich stated: "The demand environment is incredible... to say it's been growing the last year and a half would be an understatement... what we're seeing on the ground today is incredibly robust demand." He noted demand is "still really in its infancy in the overall build cycle." </w:t>
      </w:r>
      <w:r>
        <w:rPr>
          <w:rFonts w:ascii="Calibri" w:hAnsi="Calibri"/>
          <w:i/>
          <w:color w:val="525866"/>
          <w:sz w:val="22"/>
        </w:rPr>
        <w:t>PWR read-through: Strongly positive — a peer with direct hyperscaler relationships describing demand as "incredible" and "in its infancy" validates PWR's multi-year demand visibility thesis.</w:t>
      </w:r>
    </w:p>
    <w:p>
      <w:pPr>
        <w:pStyle w:val="ListBullet"/>
        <w:ind w:left="360" w:hanging="360"/>
      </w:pPr>
      <w:r>
        <w:rPr>
          <w:rFonts w:ascii="Calibri" w:hAnsi="Calibri"/>
          <w:b/>
          <w:color w:val="525866"/>
          <w:sz w:val="22"/>
        </w:rPr>
        <w:t>Data Centers (Strongly Positive):</w:t>
      </w:r>
      <w:r>
        <w:rPr>
          <w:rFonts w:ascii="Calibri" w:hAnsi="Calibri"/>
          <w:color w:val="525866"/>
          <w:sz w:val="22"/>
        </w:rPr>
        <w:t xml:space="preserve"> Peyovich stated: "Enough data centers can't get built here terrestrially to meet the needs. We even, with our business today, we are turning away work because the demand is so strong." He noted conversations with customers are "only hotter than they were six months ago." </w:t>
      </w:r>
      <w:r>
        <w:rPr>
          <w:rFonts w:ascii="Calibri" w:hAnsi="Calibri"/>
          <w:i/>
          <w:color w:val="525866"/>
          <w:sz w:val="22"/>
        </w:rPr>
        <w:t>PWR read-through: Strongly positive — a peer turning away data center work due to capacity constraints implies pricing power and sustained demand for all capable players including PWR.</w:t>
      </w:r>
    </w:p>
    <w:p>
      <w:pPr>
        <w:pStyle w:val="ListBullet"/>
        <w:ind w:left="360" w:hanging="360"/>
      </w:pPr>
      <w:r>
        <w:rPr>
          <w:rFonts w:ascii="Calibri" w:hAnsi="Calibri"/>
          <w:b/>
          <w:color w:val="525866"/>
          <w:sz w:val="22"/>
        </w:rPr>
        <w:t>Power / Grid (Positive):</w:t>
      </w:r>
      <w:r>
        <w:rPr>
          <w:rFonts w:ascii="Calibri" w:hAnsi="Calibri"/>
          <w:color w:val="525866"/>
          <w:sz w:val="22"/>
        </w:rPr>
        <w:t xml:space="preserve"> DY's power solutions business (90%+ data center focused) grew 35% and is "performing exceptionally well." Peyovich noted electrical work "doesn't purely have to be data center centric," pointing to broader power infrastructure demand. </w:t>
      </w:r>
      <w:r>
        <w:rPr>
          <w:rFonts w:ascii="Calibri" w:hAnsi="Calibri"/>
          <w:i/>
          <w:color w:val="525866"/>
          <w:sz w:val="22"/>
        </w:rPr>
        <w:t>PWR read-through: Positive — strong growth in power/electrical infrastructure at a peer directly validates PWR's Electric segment demand outlook.</w:t>
      </w:r>
    </w:p>
    <w:p>
      <w:pPr>
        <w:pStyle w:val="ListBullet"/>
        <w:ind w:left="360" w:hanging="360"/>
      </w:pPr>
      <w:r>
        <w:rPr>
          <w:rFonts w:ascii="Calibri" w:hAnsi="Calibri"/>
          <w:b/>
          <w:color w:val="525866"/>
          <w:sz w:val="22"/>
        </w:rPr>
        <w:t>Labor (Mixed):</w:t>
      </w:r>
      <w:r>
        <w:rPr>
          <w:rFonts w:ascii="Calibri" w:hAnsi="Calibri"/>
          <w:color w:val="525866"/>
          <w:sz w:val="22"/>
        </w:rPr>
        <w:t xml:space="preserve"> DY noted that union electrical labor is "much more constrained" than communications labor, with apprenticeship taking four years. Peyovich acknowledged: "There are opportunities that we are turning away because we don't have the management teams in the actual field resources to deliver." </w:t>
      </w:r>
      <w:r>
        <w:rPr>
          <w:rFonts w:ascii="Calibri" w:hAnsi="Calibri"/>
          <w:i/>
          <w:color w:val="525866"/>
          <w:sz w:val="22"/>
        </w:rPr>
        <w:t>PWR read-through: Mixed — labor constraints are real and industry-wide, but PWR's larger craft workforce and military veteran hiring program may provide a relative advantage.</w:t>
      </w:r>
    </w:p>
    <w:p>
      <w:pPr>
        <w:pStyle w:val="ListBullet"/>
        <w:ind w:left="360" w:hanging="360"/>
      </w:pPr>
      <w:r>
        <w:rPr>
          <w:rFonts w:ascii="Calibri" w:hAnsi="Calibri"/>
          <w:b/>
          <w:color w:val="525866"/>
          <w:sz w:val="22"/>
        </w:rPr>
        <w:t>Long Haul / Middle Mile (Positive for 2027+):</w:t>
      </w:r>
      <w:r>
        <w:rPr>
          <w:rFonts w:ascii="Calibri" w:hAnsi="Calibri"/>
          <w:color w:val="525866"/>
          <w:sz w:val="22"/>
        </w:rPr>
        <w:t xml:space="preserve"> DY's long-haul network opportunity has "grown considerably" from the initial $20B over five years estimate, with significant ramp expected in 2027–2028. </w:t>
      </w:r>
      <w:r>
        <w:rPr>
          <w:rFonts w:ascii="Calibri" w:hAnsi="Calibri"/>
          <w:i/>
          <w:color w:val="525866"/>
          <w:sz w:val="22"/>
        </w:rPr>
        <w:t>PWR read-through: Neutral for Q2 2026 specifically, but positive for the multi-year demand cycle that underpins PWR's backlog growth trajectory.</w:t>
      </w:r>
    </w:p>
    <w:p>
      <w:pPr>
        <w:pStyle w:val="Heading3"/>
      </w:pPr>
      <w:r>
        <w:rPr>
          <w:rFonts w:ascii="Calibri" w:hAnsi="Calibri"/>
          <w:b/>
          <w:color w:val="3B4259"/>
          <w:sz w:val="24"/>
        </w:rPr>
        <w:t>STRL — Sterling Infrastructure | William Blair Growth Stock Conference (June 3, 2026)</w:t>
      </w:r>
    </w:p>
    <w:p>
      <w:r>
        <w:rPr>
          <w:rFonts w:ascii="Calibri" w:hAnsi="Calibri"/>
          <w:b/>
          <w:color w:val="30A46C"/>
          <w:sz w:val="22"/>
        </w:rPr>
        <w:t xml:space="preserve">Overall PWR Read-Through: </w:t>
      </w:r>
      <w:r>
        <w:rPr>
          <w:rFonts w:ascii="Calibri" w:hAnsi="Calibri"/>
          <w:b/>
          <w:color w:val="525866"/>
          <w:sz w:val="22"/>
        </w:rPr>
        <w:t xml:space="preserve"> Strongly Positive</w:t>
      </w:r>
    </w:p>
    <w:p>
      <w:pPr>
        <w:pStyle w:val="ListBullet"/>
        <w:ind w:left="360" w:hanging="360"/>
      </w:pPr>
      <w:r>
        <w:rPr>
          <w:rFonts w:ascii="Calibri" w:hAnsi="Calibri"/>
          <w:b/>
          <w:color w:val="525866"/>
          <w:sz w:val="22"/>
        </w:rPr>
        <w:t>Demand &amp; Scale (Strongly Positive):</w:t>
      </w:r>
      <w:r>
        <w:rPr>
          <w:rFonts w:ascii="Calibri" w:hAnsi="Calibri"/>
          <w:color w:val="525866"/>
          <w:sz w:val="22"/>
        </w:rPr>
        <w:t xml:space="preserve"> CEO Joe Cotillo stated: "We're not talking about billions of dollars of activity. We're talking about trillions of dollars." He described hyperscalers sharing three-to-five-year plans and approaching STRL about nine new data campuses in one state that are "bigger than all the 27 campuses that we're on at the time. Plus all of the data campuses we've ever done in the history of the company." He added: "This thing is growing at a rate that I could have never imagined." </w:t>
      </w:r>
      <w:r>
        <w:rPr>
          <w:rFonts w:ascii="Calibri" w:hAnsi="Calibri"/>
          <w:i/>
          <w:color w:val="525866"/>
          <w:sz w:val="22"/>
        </w:rPr>
        <w:t>PWR read-through: Strongly positive — the exponential scale-up of data center campuses (from 5–10 acres historically to 1,000+ acres today, with 3,000–4,000 acres planned for 2027–2028) directly expands the addressable market for PWR's electric infrastructure and power generation services.</w:t>
      </w:r>
    </w:p>
    <w:p>
      <w:pPr>
        <w:pStyle w:val="ListBullet"/>
        <w:ind w:left="360" w:hanging="360"/>
      </w:pPr>
      <w:r>
        <w:rPr>
          <w:rFonts w:ascii="Calibri" w:hAnsi="Calibri"/>
          <w:b/>
          <w:color w:val="525866"/>
          <w:sz w:val="22"/>
        </w:rPr>
        <w:t>Power / Self-Generation (Strongly Positive):</w:t>
      </w:r>
      <w:r>
        <w:rPr>
          <w:rFonts w:ascii="Calibri" w:hAnsi="Calibri"/>
          <w:color w:val="525866"/>
          <w:sz w:val="22"/>
        </w:rPr>
        <w:t xml:space="preserve"> Cotillo noted that data centers are moving to self-power generation (gas turbines), extending project timelines from three to five years and creating massive demand for electrical services. STRL's electrical business (CSC, acquired ~September 2025) had its capacity "filled up in three months." He stated: "If I had 1,000 electricians in the southeast, I could put them on data centers on jobs that we're on today." </w:t>
      </w:r>
      <w:r>
        <w:rPr>
          <w:rFonts w:ascii="Calibri" w:hAnsi="Calibri"/>
          <w:i/>
          <w:color w:val="525866"/>
          <w:sz w:val="22"/>
        </w:rPr>
        <w:t>PWR read-through: Strongly positive — the shift to on-site power generation at data centers is a direct tailwind for PWR's gas-fired generation and electric infrastructure capabilities.</w:t>
      </w:r>
    </w:p>
    <w:p>
      <w:pPr>
        <w:pStyle w:val="ListBullet"/>
        <w:ind w:left="360" w:hanging="360"/>
      </w:pPr>
      <w:r>
        <w:rPr>
          <w:rFonts w:ascii="Calibri" w:hAnsi="Calibri"/>
          <w:b/>
          <w:color w:val="525866"/>
          <w:sz w:val="22"/>
        </w:rPr>
        <w:t>Labor (Mixed-to-Negative):</w:t>
      </w:r>
      <w:r>
        <w:rPr>
          <w:rFonts w:ascii="Calibri" w:hAnsi="Calibri"/>
          <w:color w:val="525866"/>
          <w:sz w:val="22"/>
        </w:rPr>
        <w:t xml:space="preserve"> Cotillo described the electrical labor market as severely constrained: "Everybody's racing for the same skill sets. The electrical side is constrained... the pure number of certified electricians out there in the world is not unlimited." STRL is investing heavily in prefab/modularization to reduce field labor requirements. </w:t>
      </w:r>
      <w:r>
        <w:rPr>
          <w:rFonts w:ascii="Calibri" w:hAnsi="Calibri"/>
          <w:i/>
          <w:color w:val="525866"/>
          <w:sz w:val="22"/>
        </w:rPr>
        <w:t>PWR read-through: Mixed — labor scarcity is a real industry constraint, but PWR's scale, military veteran hiring, and offsite fabrication investments position it better than smaller peers.</w:t>
      </w:r>
    </w:p>
    <w:p>
      <w:pPr>
        <w:pStyle w:val="ListBullet"/>
        <w:ind w:left="360" w:hanging="360"/>
      </w:pPr>
      <w:r>
        <w:rPr>
          <w:rFonts w:ascii="Calibri" w:hAnsi="Calibri"/>
          <w:b/>
          <w:color w:val="525866"/>
          <w:sz w:val="22"/>
        </w:rPr>
        <w:t>Margins (Positive):</w:t>
      </w:r>
      <w:r>
        <w:rPr>
          <w:rFonts w:ascii="Calibri" w:hAnsi="Calibri"/>
          <w:color w:val="525866"/>
          <w:sz w:val="22"/>
        </w:rPr>
        <w:t xml:space="preserve"> Cotillo stated: "Our margins will continue to increase," with "some really nice margin improvements in the electrical business over the next 12 to 18 months" as it integrates into site development. Prefab/modularization is "roughly half the price of an electrician in the field." </w:t>
      </w:r>
      <w:r>
        <w:rPr>
          <w:rFonts w:ascii="Calibri" w:hAnsi="Calibri"/>
          <w:i/>
          <w:color w:val="525866"/>
          <w:sz w:val="22"/>
        </w:rPr>
        <w:t>PWR read-through: Positive — margin expansion in electrical/infrastructure services is achievable through operational discipline and prefab investment, consistent with PWR's own margin improvement narrative.</w:t>
      </w:r>
    </w:p>
    <w:p>
      <w:pPr>
        <w:pStyle w:val="ListBullet"/>
        <w:ind w:left="360" w:hanging="360"/>
      </w:pPr>
      <w:r>
        <w:rPr>
          <w:rFonts w:ascii="Calibri" w:hAnsi="Calibri"/>
          <w:b/>
          <w:color w:val="525866"/>
          <w:sz w:val="22"/>
        </w:rPr>
        <w:t>Project Timing (Positive for Long-Term):</w:t>
      </w:r>
      <w:r>
        <w:rPr>
          <w:rFonts w:ascii="Calibri" w:hAnsi="Calibri"/>
          <w:color w:val="525866"/>
          <w:sz w:val="22"/>
        </w:rPr>
        <w:t xml:space="preserve"> Larger data center projects now take five years (vs. three historically) due to self-power generation requirements, providing "8 to 10 years of visibility" for infrastructure providers. </w:t>
      </w:r>
      <w:r>
        <w:rPr>
          <w:rFonts w:ascii="Calibri" w:hAnsi="Calibri"/>
          <w:i/>
          <w:color w:val="525866"/>
          <w:sz w:val="22"/>
        </w:rPr>
        <w:t>PWR read-through: Positive — extended project timelines increase revenue visibility and reduce backlog volatility for PWR.</w:t>
      </w:r>
    </w:p>
    <w:p>
      <w:pPr>
        <w:pStyle w:val="Heading3"/>
      </w:pPr>
      <w:r>
        <w:rPr>
          <w:rFonts w:ascii="Calibri" w:hAnsi="Calibri"/>
          <w:b/>
          <w:color w:val="3B4259"/>
          <w:sz w:val="24"/>
        </w:rPr>
        <w:t>MYRG — MYR Group | Q2 2026 Earnings Release (July 29, 2026)</w:t>
      </w:r>
    </w:p>
    <w:p>
      <w:r>
        <w:rPr>
          <w:rFonts w:ascii="Calibri" w:hAnsi="Calibri"/>
          <w:b/>
          <w:color w:val="30A46C"/>
          <w:sz w:val="22"/>
        </w:rPr>
        <w:t xml:space="preserve">Overall PWR Read-Through: </w:t>
      </w:r>
      <w:r>
        <w:rPr>
          <w:rFonts w:ascii="Calibri" w:hAnsi="Calibri"/>
          <w:b/>
          <w:color w:val="525866"/>
          <w:sz w:val="22"/>
        </w:rPr>
        <w:t xml:space="preserve"> Positive</w:t>
      </w:r>
    </w:p>
    <w:p>
      <w:pPr>
        <w:pStyle w:val="ListBullet"/>
        <w:ind w:left="360" w:hanging="360"/>
      </w:pPr>
      <w:r>
        <w:rPr>
          <w:rFonts w:ascii="Calibri" w:hAnsi="Calibri"/>
          <w:b/>
          <w:color w:val="525866"/>
          <w:sz w:val="22"/>
        </w:rPr>
        <w:t>Backlog &amp; Demand (Positive):</w:t>
      </w:r>
      <w:r>
        <w:rPr>
          <w:rFonts w:ascii="Calibri" w:hAnsi="Calibri"/>
          <w:color w:val="525866"/>
          <w:sz w:val="22"/>
        </w:rPr>
        <w:t xml:space="preserve"> MYRG reported a record backlog of $3.16B as of June 30, 2026, up 19.6% YoY ($518M increase). CEO Rick Swartz highlighted "continued strength of our core markets, ongoing investment in electrical infrastructure, and sustained customer demand across our business" and a "healthy pipeline of quality bidding opportunities." </w:t>
      </w:r>
      <w:r>
        <w:rPr>
          <w:rFonts w:ascii="Calibri" w:hAnsi="Calibri"/>
          <w:i/>
          <w:color w:val="525866"/>
          <w:sz w:val="22"/>
        </w:rPr>
        <w:t>PWR read-through: Positive — record backlog at a T&amp;D-focused peer confirms that electrical infrastructure demand is broad-based and not concentrated in a single customer or project type.</w:t>
      </w:r>
    </w:p>
    <w:p>
      <w:pPr>
        <w:pStyle w:val="ListBullet"/>
        <w:ind w:left="360" w:hanging="360"/>
      </w:pPr>
      <w:r>
        <w:rPr>
          <w:rFonts w:ascii="Calibri" w:hAnsi="Calibri"/>
          <w:b/>
          <w:color w:val="525866"/>
          <w:sz w:val="22"/>
        </w:rPr>
        <w:t>Utility T&amp;D / Grid (Positive):</w:t>
      </w:r>
      <w:r>
        <w:rPr>
          <w:rFonts w:ascii="Calibri" w:hAnsi="Calibri"/>
          <w:color w:val="525866"/>
          <w:sz w:val="22"/>
        </w:rPr>
        <w:t xml:space="preserve"> MYRG's T&amp;D segment provides services for electric transmission, distribution networks, substation facilities, clean energy projects, and EV charging infrastructure. Swartz stated the company is "well positioned to deliver continued growth" due to "strong market fundamentals." </w:t>
      </w:r>
      <w:r>
        <w:rPr>
          <w:rFonts w:ascii="Calibri" w:hAnsi="Calibri"/>
          <w:i/>
          <w:color w:val="525866"/>
          <w:sz w:val="22"/>
        </w:rPr>
        <w:t>PWR read-through: Positive — sustained T&amp;D demand at a direct peer validates PWR's Electric segment growth outlook.</w:t>
      </w:r>
    </w:p>
    <w:p>
      <w:pPr>
        <w:pStyle w:val="ListBullet"/>
        <w:ind w:left="360" w:hanging="360"/>
      </w:pPr>
      <w:r>
        <w:rPr>
          <w:rFonts w:ascii="Calibri" w:hAnsi="Calibri"/>
          <w:b/>
          <w:color w:val="525866"/>
          <w:sz w:val="22"/>
        </w:rPr>
        <w:t>Data Centers (Positive):</w:t>
      </w:r>
      <w:r>
        <w:rPr>
          <w:rFonts w:ascii="Calibri" w:hAnsi="Calibri"/>
          <w:color w:val="525866"/>
          <w:sz w:val="22"/>
        </w:rPr>
        <w:t xml:space="preserve"> MYRG's C&amp;I segment explicitly includes data center design, installation, maintenance, and repair. The acquisition of Valley Electric and Comet Electric (closed July 1, 2026) is expected to "further enhance C&amp;I capabilities and expand geographic footprint." </w:t>
      </w:r>
      <w:r>
        <w:rPr>
          <w:rFonts w:ascii="Calibri" w:hAnsi="Calibri"/>
          <w:i/>
          <w:color w:val="525866"/>
          <w:sz w:val="22"/>
        </w:rPr>
        <w:t>PWR read-through: Positive — a peer expanding C&amp;I/data center capabilities through M&amp;A confirms the strategic importance of this end market.</w:t>
      </w:r>
    </w:p>
    <w:p>
      <w:pPr>
        <w:pStyle w:val="ListBullet"/>
        <w:ind w:left="360" w:hanging="360"/>
      </w:pPr>
      <w:r>
        <w:rPr>
          <w:rFonts w:ascii="Calibri" w:hAnsi="Calibri"/>
          <w:b/>
          <w:color w:val="525866"/>
          <w:sz w:val="22"/>
        </w:rPr>
        <w:t>Margins (Mixed):</w:t>
      </w:r>
      <w:r>
        <w:rPr>
          <w:rFonts w:ascii="Calibri" w:hAnsi="Calibri"/>
          <w:color w:val="525866"/>
          <w:sz w:val="22"/>
        </w:rPr>
        <w:t xml:space="preserve"> MYRG's strong H1 2026 margins were driven by "better-than-anticipated productivity, favorable job close-outs, and increase in scope on certain projects" — project-specific factors rather than structural improvement. No explicit forward margin guidance was provided. </w:t>
      </w:r>
      <w:r>
        <w:rPr>
          <w:rFonts w:ascii="Calibri" w:hAnsi="Calibri"/>
          <w:i/>
          <w:color w:val="525866"/>
          <w:sz w:val="22"/>
        </w:rPr>
        <w:t>PWR read-through: Mixed — strong margins at a peer are positive, but the project-specific drivers limit read-through to PWR's structural margin trajectory.</w:t>
      </w:r>
    </w:p>
    <w:p>
      <w:pPr>
        <w:pStyle w:val="Heading3"/>
      </w:pPr>
      <w:r>
        <w:rPr>
          <w:rFonts w:ascii="Calibri" w:hAnsi="Calibri"/>
          <w:b/>
          <w:color w:val="3B4259"/>
          <w:sz w:val="24"/>
        </w:rPr>
        <w:t>PRIM — Primoris Services | JP Morgan Natural Resources Conference (June 24, 2026)</w:t>
      </w:r>
    </w:p>
    <w:p>
      <w:r>
        <w:rPr>
          <w:rFonts w:ascii="Calibri" w:hAnsi="Calibri"/>
          <w:b/>
          <w:color w:val="525866"/>
          <w:sz w:val="22"/>
        </w:rPr>
        <w:t xml:space="preserve">Overall PWR Read-Through: </w:t>
      </w:r>
      <w:r>
        <w:rPr>
          <w:rFonts w:ascii="Calibri" w:hAnsi="Calibri"/>
          <w:color w:val="525866"/>
          <w:sz w:val="22"/>
        </w:rPr>
        <w:t xml:space="preserve"> Mixed (Renewables Headwind; Gas Power &amp; Transmission Strongly Positive)</w:t>
      </w:r>
    </w:p>
    <w:p>
      <w:pPr>
        <w:pStyle w:val="ListBullet"/>
        <w:ind w:left="360" w:hanging="360"/>
      </w:pPr>
      <w:r>
        <w:rPr>
          <w:rFonts w:ascii="Calibri" w:hAnsi="Calibri"/>
          <w:b/>
          <w:color w:val="525866"/>
          <w:sz w:val="22"/>
        </w:rPr>
        <w:t>Renewables (Negative for PRIM; Limited PWR Read-Through):</w:t>
      </w:r>
      <w:r>
        <w:rPr>
          <w:rFonts w:ascii="Calibri" w:hAnsi="Calibri"/>
          <w:color w:val="525866"/>
          <w:sz w:val="22"/>
        </w:rPr>
        <w:t xml:space="preserve"> PRIM disclosed a "fairly dramatic revision to guidance" due to field rework, remediation, and weather impacts on six distressed renewables projects (entered portfolio circa 2024). Q2 2026 EBITDA expected to be "about break even." Management stated the issues are "ring fenced" to these six projects, with two already at substantial completion and the remainder expected to finish by year-end. </w:t>
      </w:r>
      <w:r>
        <w:rPr>
          <w:rFonts w:ascii="Calibri" w:hAnsi="Calibri"/>
          <w:i/>
          <w:color w:val="525866"/>
          <w:sz w:val="22"/>
        </w:rPr>
        <w:t>PWR read-through: Limited negative read-through — PWR does not have the same fixed-price renewables EPC exposure. PWR's renewables work is primarily T&amp;D and interconnection (lower risk), not full EPC generation. The PRIM issues are project-specific and company-specific.</w:t>
      </w:r>
    </w:p>
    <w:p>
      <w:pPr>
        <w:pStyle w:val="ListBullet"/>
        <w:ind w:left="360" w:hanging="360"/>
      </w:pPr>
      <w:r>
        <w:rPr>
          <w:rFonts w:ascii="Calibri" w:hAnsi="Calibri"/>
          <w:b/>
          <w:color w:val="525866"/>
          <w:sz w:val="22"/>
        </w:rPr>
        <w:t>Gas Power Generation (Strongly Positive):</w:t>
      </w:r>
      <w:r>
        <w:rPr>
          <w:rFonts w:ascii="Calibri" w:hAnsi="Calibri"/>
          <w:color w:val="525866"/>
          <w:sz w:val="22"/>
        </w:rPr>
        <w:t xml:space="preserve"> PRIM described gas power generation as benefiting from a "strong secular trend for need for power to satiate in large part AI data centers, but it's also onshoring of other manufacturing." The market is "not a super crowded space" for companies with self-performing EPC capabilities. Most projects are simple cycle due to "time to market" urgency from AI data centers: "Everybody just needs... these AI data centers, the developers are just looking for how fast they can get power." </w:t>
      </w:r>
      <w:r>
        <w:rPr>
          <w:rFonts w:ascii="Calibri" w:hAnsi="Calibri"/>
          <w:i/>
          <w:color w:val="525866"/>
          <w:sz w:val="22"/>
        </w:rPr>
        <w:t>PWR read-through: Strongly positive — validates PWR's selective, de-risked approach to gas-fired generation (collaborative JV structures, reimbursable contracts) as the right strategy in a market where speed and certainty command a premium.</w:t>
      </w:r>
    </w:p>
    <w:p>
      <w:pPr>
        <w:pStyle w:val="ListBullet"/>
        <w:ind w:left="360" w:hanging="360"/>
      </w:pPr>
      <w:r>
        <w:rPr>
          <w:rFonts w:ascii="Calibri" w:hAnsi="Calibri"/>
          <w:b/>
          <w:color w:val="525866"/>
          <w:sz w:val="22"/>
        </w:rPr>
        <w:t>Transmission / Grid (Strongly Positive):</w:t>
      </w:r>
      <w:r>
        <w:rPr>
          <w:rFonts w:ascii="Calibri" w:hAnsi="Calibri"/>
          <w:color w:val="525866"/>
          <w:sz w:val="22"/>
        </w:rPr>
        <w:t xml:space="preserve"> PRIM described transmission as "another great secular trend" with the company "really well placed." The power delivery segment is "largely MSA driven" (lower risk) with a "bias going from distribution to transmission substation" offering "healthier margins than the distribution side." New customers are approaching PRIM due to "overall supply chain tapped out." </w:t>
      </w:r>
      <w:r>
        <w:rPr>
          <w:rFonts w:ascii="Calibri" w:hAnsi="Calibri"/>
          <w:i/>
          <w:color w:val="525866"/>
          <w:sz w:val="22"/>
        </w:rPr>
        <w:t>PWR read-through: Strongly positive — supply chain constraints and the shift toward higher-margin transmission/substation work directly benefit PWR, which has invested heavily in transformer manufacturing and vertical supply chain to address exactly these bottlenecks.</w:t>
      </w:r>
    </w:p>
    <w:p>
      <w:pPr>
        <w:pStyle w:val="ListBullet"/>
        <w:ind w:left="360" w:hanging="360"/>
      </w:pPr>
      <w:r>
        <w:rPr>
          <w:rFonts w:ascii="Calibri" w:hAnsi="Calibri"/>
          <w:b/>
          <w:color w:val="525866"/>
          <w:sz w:val="22"/>
        </w:rPr>
        <w:t>Guidance Discipline (Positive):</w:t>
      </w:r>
      <w:r>
        <w:rPr>
          <w:rFonts w:ascii="Calibri" w:hAnsi="Calibri"/>
          <w:color w:val="525866"/>
          <w:sz w:val="22"/>
        </w:rPr>
        <w:t xml:space="preserve"> Despite the renewables issues, PRIM described a "15 billion plus funnel" of discrete opportunities and stated it is "being very disciplined" and "positively discriminatory" in what it puts into backlog, including turning down a "couple hundred million dollar engagement" due to risky terms. </w:t>
      </w:r>
      <w:r>
        <w:rPr>
          <w:rFonts w:ascii="Calibri" w:hAnsi="Calibri"/>
          <w:i/>
          <w:color w:val="525866"/>
          <w:sz w:val="22"/>
        </w:rPr>
        <w:t>PWR read-through: Positive — disciplined project selection across the industry supports pricing power and margin sustainability for well-positioned players like PWR.</w:t>
      </w:r>
    </w:p>
    <w:p>
      <w:pPr>
        <w:pStyle w:val="ListBullet"/>
        <w:ind w:left="360" w:hanging="360"/>
      </w:pPr>
      <w:r>
        <w:rPr>
          <w:rFonts w:ascii="Calibri" w:hAnsi="Calibri"/>
          <w:b/>
          <w:color w:val="525866"/>
          <w:sz w:val="22"/>
        </w:rPr>
        <w:t>H2 2026 Recovery (Positive):</w:t>
      </w:r>
      <w:r>
        <w:rPr>
          <w:rFonts w:ascii="Calibri" w:hAnsi="Calibri"/>
          <w:color w:val="525866"/>
          <w:sz w:val="22"/>
        </w:rPr>
        <w:t xml:space="preserve"> PRIM guided for sequential EBITDA improvement: Q3 in the "$80–$100M range" and Q4 "a little bit north of that," with "a couple billion back half of the year" in renewables revenue setting up well for 2027. </w:t>
      </w:r>
      <w:r>
        <w:rPr>
          <w:rFonts w:ascii="Calibri" w:hAnsi="Calibri"/>
          <w:i/>
          <w:color w:val="525866"/>
          <w:sz w:val="22"/>
        </w:rPr>
        <w:t>PWR read-through: Positive for the broader infrastructure sector — H2 2026 is expected to be stronger than H1 across the peer group, consistent with PWR's own back-half weighting.</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Peer</w:t>
            </w:r>
          </w:p>
        </w:tc>
        <w:tc>
          <w:tcPr>
            <w:tcW w:type="dxa" w:w="960"/>
            <w:shd w:val="clear" w:color="auto" w:fill="3B4259"/>
          </w:tcPr>
          <w:p>
            <w:r>
              <w:rPr>
                <w:rFonts w:ascii="Calibri" w:hAnsi="Calibri"/>
                <w:b/>
                <w:color w:val="FFFFFF"/>
                <w:sz w:val="22"/>
              </w:rPr>
              <w:t>Date</w:t>
            </w:r>
          </w:p>
        </w:tc>
        <w:tc>
          <w:tcPr>
            <w:tcW w:type="dxa" w:w="960"/>
            <w:shd w:val="clear" w:color="auto" w:fill="3B4259"/>
          </w:tcPr>
          <w:p>
            <w:r>
              <w:rPr>
                <w:rFonts w:ascii="Calibri" w:hAnsi="Calibri"/>
                <w:b/>
                <w:color w:val="FFFFFF"/>
                <w:sz w:val="22"/>
              </w:rPr>
              <w:t>Event</w:t>
            </w:r>
          </w:p>
        </w:tc>
        <w:tc>
          <w:tcPr>
            <w:tcW w:type="dxa" w:w="960"/>
            <w:shd w:val="clear" w:color="auto" w:fill="3B4259"/>
          </w:tcPr>
          <w:p>
            <w:r>
              <w:rPr>
                <w:rFonts w:ascii="Calibri" w:hAnsi="Calibri"/>
                <w:b/>
                <w:color w:val="FFFFFF"/>
                <w:sz w:val="22"/>
              </w:rPr>
              <w:t>Demand / Backlog</w:t>
            </w:r>
          </w:p>
        </w:tc>
        <w:tc>
          <w:tcPr>
            <w:tcW w:type="dxa" w:w="960"/>
            <w:shd w:val="clear" w:color="auto" w:fill="3B4259"/>
          </w:tcPr>
          <w:p>
            <w:r>
              <w:rPr>
                <w:rFonts w:ascii="Calibri" w:hAnsi="Calibri"/>
                <w:b/>
                <w:color w:val="FFFFFF"/>
                <w:sz w:val="22"/>
              </w:rPr>
              <w:t>Data Centers</w:t>
            </w:r>
          </w:p>
        </w:tc>
        <w:tc>
          <w:tcPr>
            <w:tcW w:type="dxa" w:w="960"/>
            <w:shd w:val="clear" w:color="auto" w:fill="3B4259"/>
          </w:tcPr>
          <w:p>
            <w:r>
              <w:rPr>
                <w:rFonts w:ascii="Calibri" w:hAnsi="Calibri"/>
                <w:b/>
                <w:color w:val="FFFFFF"/>
                <w:sz w:val="22"/>
              </w:rPr>
              <w:t>Power / Grid</w:t>
            </w:r>
          </w:p>
        </w:tc>
        <w:tc>
          <w:tcPr>
            <w:tcW w:type="dxa" w:w="960"/>
            <w:shd w:val="clear" w:color="auto" w:fill="3B4259"/>
          </w:tcPr>
          <w:p>
            <w:r>
              <w:rPr>
                <w:rFonts w:ascii="Calibri" w:hAnsi="Calibri"/>
                <w:b/>
                <w:color w:val="FFFFFF"/>
                <w:sz w:val="22"/>
              </w:rPr>
              <w:t>Margins</w:t>
            </w:r>
          </w:p>
        </w:tc>
        <w:tc>
          <w:tcPr>
            <w:tcW w:type="dxa" w:w="960"/>
            <w:shd w:val="clear" w:color="auto" w:fill="3B4259"/>
          </w:tcPr>
          <w:p>
            <w:r>
              <w:rPr>
                <w:rFonts w:ascii="Calibri" w:hAnsi="Calibri"/>
                <w:b/>
                <w:color w:val="FFFFFF"/>
                <w:sz w:val="22"/>
              </w:rPr>
              <w:t>Labor</w:t>
            </w:r>
          </w:p>
        </w:tc>
        <w:tc>
          <w:tcPr>
            <w:tcW w:type="dxa" w:w="960"/>
            <w:shd w:val="clear" w:color="auto" w:fill="3B4259"/>
          </w:tcPr>
          <w:p>
            <w:r>
              <w:rPr>
                <w:rFonts w:ascii="Calibri" w:hAnsi="Calibri"/>
                <w:b/>
                <w:color w:val="FFFFFF"/>
                <w:sz w:val="22"/>
              </w:rPr>
              <w:t>Overall PWR Read-Through</w:t>
            </w:r>
          </w:p>
        </w:tc>
      </w:tr>
      <w:tr>
        <w:tc>
          <w:tcPr>
            <w:tcW w:type="dxa" w:w="960"/>
          </w:tcPr>
          <w:p>
            <w:r>
              <w:rPr>
                <w:rFonts w:ascii="Calibri" w:hAnsi="Calibri"/>
                <w:sz w:val="22"/>
              </w:rPr>
              <w:t>FIX</w:t>
            </w:r>
          </w:p>
        </w:tc>
        <w:tc>
          <w:tcPr>
            <w:tcW w:type="dxa" w:w="960"/>
          </w:tcPr>
          <w:p>
            <w:r>
              <w:rPr>
                <w:rFonts w:ascii="Calibri" w:hAnsi="Calibri"/>
                <w:sz w:val="22"/>
              </w:rPr>
              <w:t>Jul 24</w:t>
            </w:r>
          </w:p>
        </w:tc>
        <w:tc>
          <w:tcPr>
            <w:tcW w:type="dxa" w:w="960"/>
          </w:tcPr>
          <w:p>
            <w:r>
              <w:rPr>
                <w:rFonts w:ascii="Calibri" w:hAnsi="Calibri"/>
                <w:sz w:val="22"/>
              </w:rPr>
              <w:t>Q2 2026 Earnings</w:t>
            </w:r>
          </w:p>
        </w:tc>
        <w:tc>
          <w:tcPr>
            <w:tcW w:type="dxa" w:w="960"/>
          </w:tcPr>
          <w:p>
            <w:r>
              <w:rPr>
                <w:rFonts w:ascii="Calibri" w:hAnsi="Calibri"/>
                <w:b/>
                <w:color w:val="30A46C"/>
                <w:sz w:val="22"/>
              </w:rPr>
              <w:t>↑ Positive</w:t>
            </w:r>
          </w:p>
        </w:tc>
        <w:tc>
          <w:tcPr>
            <w:tcW w:type="dxa" w:w="960"/>
          </w:tcPr>
          <w:p>
            <w:r>
              <w:rPr>
                <w:rFonts w:ascii="Calibri" w:hAnsi="Calibri"/>
                <w:b/>
                <w:color w:val="30A46C"/>
                <w:sz w:val="22"/>
              </w:rPr>
              <w:t>↑ Strongly Positive</w:t>
            </w:r>
          </w:p>
        </w:tc>
        <w:tc>
          <w:tcPr>
            <w:tcW w:type="dxa" w:w="960"/>
          </w:tcPr>
          <w:p>
            <w:r>
              <w:rPr>
                <w:rFonts w:ascii="Calibri" w:hAnsi="Calibri"/>
                <w:sz w:val="22"/>
              </w:rPr>
              <w:t>Mixed</w:t>
            </w:r>
          </w:p>
        </w:tc>
        <w:tc>
          <w:tcPr>
            <w:tcW w:type="dxa" w:w="960"/>
          </w:tcPr>
          <w:p>
            <w:r>
              <w:rPr>
                <w:rFonts w:ascii="Calibri" w:hAnsi="Calibri"/>
                <w:b/>
                <w:color w:val="30A46C"/>
                <w:sz w:val="22"/>
              </w:rPr>
              <w:t>↑ Positive</w:t>
            </w:r>
          </w:p>
        </w:tc>
        <w:tc>
          <w:tcPr>
            <w:tcW w:type="dxa" w:w="960"/>
          </w:tcPr>
          <w:p>
            <w:r>
              <w:rPr>
                <w:rFonts w:ascii="Calibri" w:hAnsi="Calibri"/>
                <w:b/>
                <w:color w:val="30A46C"/>
                <w:sz w:val="22"/>
              </w:rPr>
              <w:t>↑ Positive</w:t>
            </w:r>
          </w:p>
        </w:tc>
        <w:tc>
          <w:tcPr>
            <w:tcW w:type="dxa" w:w="960"/>
          </w:tcPr>
          <w:p>
            <w:r>
              <w:rPr>
                <w:rFonts w:ascii="Calibri" w:hAnsi="Calibri"/>
                <w:b/>
                <w:color w:val="30A46C"/>
                <w:sz w:val="22"/>
              </w:rPr>
              <w:t>↑ Strongly Positive</w:t>
            </w:r>
          </w:p>
        </w:tc>
      </w:tr>
      <w:tr>
        <w:tc>
          <w:tcPr>
            <w:tcW w:type="dxa" w:w="960"/>
          </w:tcPr>
          <w:p>
            <w:r>
              <w:rPr>
                <w:rFonts w:ascii="Calibri" w:hAnsi="Calibri"/>
                <w:sz w:val="22"/>
              </w:rPr>
              <w:t>EME</w:t>
            </w:r>
          </w:p>
        </w:tc>
        <w:tc>
          <w:tcPr>
            <w:tcW w:type="dxa" w:w="960"/>
          </w:tcPr>
          <w:p>
            <w:r>
              <w:rPr>
                <w:rFonts w:ascii="Calibri" w:hAnsi="Calibri"/>
                <w:sz w:val="22"/>
              </w:rPr>
              <w:t>Jun 2</w:t>
            </w:r>
          </w:p>
        </w:tc>
        <w:tc>
          <w:tcPr>
            <w:tcW w:type="dxa" w:w="960"/>
          </w:tcPr>
          <w:p>
            <w:r>
              <w:rPr>
                <w:rFonts w:ascii="Calibri" w:hAnsi="Calibri"/>
                <w:sz w:val="22"/>
              </w:rPr>
              <w:t>William Blair Conf.</w:t>
            </w:r>
          </w:p>
        </w:tc>
        <w:tc>
          <w:tcPr>
            <w:tcW w:type="dxa" w:w="960"/>
          </w:tcPr>
          <w:p>
            <w:r>
              <w:rPr>
                <w:rFonts w:ascii="Calibri" w:hAnsi="Calibri"/>
                <w:b/>
                <w:color w:val="30A46C"/>
                <w:sz w:val="22"/>
              </w:rPr>
              <w:t>↑ Positive</w:t>
            </w:r>
          </w:p>
        </w:tc>
        <w:tc>
          <w:tcPr>
            <w:tcW w:type="dxa" w:w="960"/>
          </w:tcPr>
          <w:p>
            <w:r>
              <w:rPr>
                <w:rFonts w:ascii="Calibri" w:hAnsi="Calibri"/>
                <w:sz w:val="22"/>
              </w:rPr>
              <w:t>Mixed</w:t>
            </w:r>
          </w:p>
        </w:tc>
        <w:tc>
          <w:tcPr>
            <w:tcW w:type="dxa" w:w="960"/>
          </w:tcPr>
          <w:p>
            <w:r>
              <w:rPr>
                <w:rFonts w:ascii="Calibri" w:hAnsi="Calibri"/>
                <w:sz w:val="22"/>
              </w:rPr>
              <w:t>Neutral</w:t>
            </w:r>
          </w:p>
        </w:tc>
        <w:tc>
          <w:tcPr>
            <w:tcW w:type="dxa" w:w="960"/>
          </w:tcPr>
          <w:p>
            <w:r>
              <w:rPr>
                <w:rFonts w:ascii="Calibri" w:hAnsi="Calibri"/>
                <w:sz w:val="22"/>
              </w:rPr>
              <w:t>Mixed</w:t>
            </w:r>
          </w:p>
        </w:tc>
        <w:tc>
          <w:tcPr>
            <w:tcW w:type="dxa" w:w="960"/>
          </w:tcPr>
          <w:p>
            <w:r>
              <w:rPr>
                <w:rFonts w:ascii="Calibri" w:hAnsi="Calibri"/>
                <w:b/>
                <w:color w:val="30A46C"/>
                <w:sz w:val="22"/>
              </w:rPr>
              <w:t>↑ Positive</w:t>
            </w:r>
          </w:p>
        </w:tc>
        <w:tc>
          <w:tcPr>
            <w:tcW w:type="dxa" w:w="960"/>
          </w:tcPr>
          <w:p>
            <w:r>
              <w:rPr>
                <w:rFonts w:ascii="Calibri" w:hAnsi="Calibri"/>
                <w:sz w:val="22"/>
              </w:rPr>
              <w:t>Mixed-to-Positive</w:t>
            </w:r>
          </w:p>
        </w:tc>
      </w:tr>
      <w:tr>
        <w:tc>
          <w:tcPr>
            <w:tcW w:type="dxa" w:w="960"/>
          </w:tcPr>
          <w:p>
            <w:r>
              <w:rPr>
                <w:rFonts w:ascii="Calibri" w:hAnsi="Calibri"/>
                <w:sz w:val="22"/>
              </w:rPr>
              <w:t>DY</w:t>
            </w:r>
          </w:p>
        </w:tc>
        <w:tc>
          <w:tcPr>
            <w:tcW w:type="dxa" w:w="960"/>
          </w:tcPr>
          <w:p>
            <w:r>
              <w:rPr>
                <w:rFonts w:ascii="Calibri" w:hAnsi="Calibri"/>
                <w:sz w:val="22"/>
              </w:rPr>
              <w:t>Jul 8</w:t>
            </w:r>
          </w:p>
        </w:tc>
        <w:tc>
          <w:tcPr>
            <w:tcW w:type="dxa" w:w="960"/>
          </w:tcPr>
          <w:p>
            <w:r>
              <w:rPr>
                <w:rFonts w:ascii="Calibri" w:hAnsi="Calibri"/>
                <w:sz w:val="22"/>
              </w:rPr>
              <w:t>Guggenheim Fireside</w:t>
            </w:r>
          </w:p>
        </w:tc>
        <w:tc>
          <w:tcPr>
            <w:tcW w:type="dxa" w:w="960"/>
          </w:tcPr>
          <w:p>
            <w:r>
              <w:rPr>
                <w:rFonts w:ascii="Calibri" w:hAnsi="Calibri"/>
                <w:b/>
                <w:color w:val="30A46C"/>
                <w:sz w:val="22"/>
              </w:rPr>
              <w:t>↑ Strongly Positive</w:t>
            </w:r>
          </w:p>
        </w:tc>
        <w:tc>
          <w:tcPr>
            <w:tcW w:type="dxa" w:w="960"/>
          </w:tcPr>
          <w:p>
            <w:r>
              <w:rPr>
                <w:rFonts w:ascii="Calibri" w:hAnsi="Calibri"/>
                <w:b/>
                <w:color w:val="30A46C"/>
                <w:sz w:val="22"/>
              </w:rPr>
              <w:t>↑ Strongly Positive</w:t>
            </w:r>
          </w:p>
        </w:tc>
        <w:tc>
          <w:tcPr>
            <w:tcW w:type="dxa" w:w="960"/>
          </w:tcPr>
          <w:p>
            <w:r>
              <w:rPr>
                <w:rFonts w:ascii="Calibri" w:hAnsi="Calibri"/>
                <w:b/>
                <w:color w:val="30A46C"/>
                <w:sz w:val="22"/>
              </w:rPr>
              <w:t>↑ Positive</w:t>
            </w:r>
          </w:p>
        </w:tc>
        <w:tc>
          <w:tcPr>
            <w:tcW w:type="dxa" w:w="960"/>
          </w:tcPr>
          <w:p>
            <w:r>
              <w:rPr>
                <w:rFonts w:ascii="Calibri" w:hAnsi="Calibri"/>
                <w:b/>
                <w:color w:val="30A46C"/>
                <w:sz w:val="22"/>
              </w:rPr>
              <w:t>↑ Positive</w:t>
            </w:r>
          </w:p>
        </w:tc>
        <w:tc>
          <w:tcPr>
            <w:tcW w:type="dxa" w:w="960"/>
          </w:tcPr>
          <w:p>
            <w:r>
              <w:rPr>
                <w:rFonts w:ascii="Calibri" w:hAnsi="Calibri"/>
                <w:sz w:val="22"/>
              </w:rPr>
              <w:t>Mixed</w:t>
            </w:r>
          </w:p>
        </w:tc>
        <w:tc>
          <w:tcPr>
            <w:tcW w:type="dxa" w:w="960"/>
          </w:tcPr>
          <w:p>
            <w:r>
              <w:rPr>
                <w:rFonts w:ascii="Calibri" w:hAnsi="Calibri"/>
                <w:b/>
                <w:color w:val="30A46C"/>
                <w:sz w:val="22"/>
              </w:rPr>
              <w:t>↑ Strongly Positive</w:t>
            </w:r>
          </w:p>
        </w:tc>
      </w:tr>
      <w:tr>
        <w:tc>
          <w:tcPr>
            <w:tcW w:type="dxa" w:w="960"/>
          </w:tcPr>
          <w:p>
            <w:r>
              <w:rPr>
                <w:rFonts w:ascii="Calibri" w:hAnsi="Calibri"/>
                <w:sz w:val="22"/>
              </w:rPr>
              <w:t>STRL</w:t>
            </w:r>
          </w:p>
        </w:tc>
        <w:tc>
          <w:tcPr>
            <w:tcW w:type="dxa" w:w="960"/>
          </w:tcPr>
          <w:p>
            <w:r>
              <w:rPr>
                <w:rFonts w:ascii="Calibri" w:hAnsi="Calibri"/>
                <w:sz w:val="22"/>
              </w:rPr>
              <w:t>Jun 3</w:t>
            </w:r>
          </w:p>
        </w:tc>
        <w:tc>
          <w:tcPr>
            <w:tcW w:type="dxa" w:w="960"/>
          </w:tcPr>
          <w:p>
            <w:r>
              <w:rPr>
                <w:rFonts w:ascii="Calibri" w:hAnsi="Calibri"/>
                <w:sz w:val="22"/>
              </w:rPr>
              <w:t>William Blair Conf.</w:t>
            </w:r>
          </w:p>
        </w:tc>
        <w:tc>
          <w:tcPr>
            <w:tcW w:type="dxa" w:w="960"/>
          </w:tcPr>
          <w:p>
            <w:r>
              <w:rPr>
                <w:rFonts w:ascii="Calibri" w:hAnsi="Calibri"/>
                <w:b/>
                <w:color w:val="30A46C"/>
                <w:sz w:val="22"/>
              </w:rPr>
              <w:t>↑ Strongly Positive</w:t>
            </w:r>
          </w:p>
        </w:tc>
        <w:tc>
          <w:tcPr>
            <w:tcW w:type="dxa" w:w="960"/>
          </w:tcPr>
          <w:p>
            <w:r>
              <w:rPr>
                <w:rFonts w:ascii="Calibri" w:hAnsi="Calibri"/>
                <w:b/>
                <w:color w:val="30A46C"/>
                <w:sz w:val="22"/>
              </w:rPr>
              <w:t>↑ Strongly Positive</w:t>
            </w:r>
          </w:p>
        </w:tc>
        <w:tc>
          <w:tcPr>
            <w:tcW w:type="dxa" w:w="960"/>
          </w:tcPr>
          <w:p>
            <w:r>
              <w:rPr>
                <w:rFonts w:ascii="Calibri" w:hAnsi="Calibri"/>
                <w:b/>
                <w:color w:val="30A46C"/>
                <w:sz w:val="22"/>
              </w:rPr>
              <w:t>↑ Strongly Positive</w:t>
            </w:r>
          </w:p>
        </w:tc>
        <w:tc>
          <w:tcPr>
            <w:tcW w:type="dxa" w:w="960"/>
          </w:tcPr>
          <w:p>
            <w:r>
              <w:rPr>
                <w:rFonts w:ascii="Calibri" w:hAnsi="Calibri"/>
                <w:b/>
                <w:color w:val="30A46C"/>
                <w:sz w:val="22"/>
              </w:rPr>
              <w:t>↑ Positive</w:t>
            </w:r>
          </w:p>
        </w:tc>
        <w:tc>
          <w:tcPr>
            <w:tcW w:type="dxa" w:w="960"/>
          </w:tcPr>
          <w:p>
            <w:r>
              <w:rPr>
                <w:rFonts w:ascii="Calibri" w:hAnsi="Calibri"/>
                <w:b/>
                <w:color w:val="E5484D"/>
                <w:sz w:val="22"/>
              </w:rPr>
              <w:t>↑ Mixed</w:t>
            </w:r>
          </w:p>
        </w:tc>
        <w:tc>
          <w:tcPr>
            <w:tcW w:type="dxa" w:w="960"/>
          </w:tcPr>
          <w:p>
            <w:r>
              <w:rPr>
                <w:rFonts w:ascii="Calibri" w:hAnsi="Calibri"/>
                <w:b/>
                <w:color w:val="30A46C"/>
                <w:sz w:val="22"/>
              </w:rPr>
              <w:t>↑ Strongly Positive</w:t>
            </w:r>
          </w:p>
        </w:tc>
      </w:tr>
      <w:tr>
        <w:tc>
          <w:tcPr>
            <w:tcW w:type="dxa" w:w="960"/>
          </w:tcPr>
          <w:p>
            <w:r>
              <w:rPr>
                <w:rFonts w:ascii="Calibri" w:hAnsi="Calibri"/>
                <w:sz w:val="22"/>
              </w:rPr>
              <w:t>MYRG</w:t>
            </w:r>
          </w:p>
        </w:tc>
        <w:tc>
          <w:tcPr>
            <w:tcW w:type="dxa" w:w="960"/>
          </w:tcPr>
          <w:p>
            <w:r>
              <w:rPr>
                <w:rFonts w:ascii="Calibri" w:hAnsi="Calibri"/>
                <w:sz w:val="22"/>
              </w:rPr>
              <w:t>Jul 29</w:t>
            </w:r>
          </w:p>
        </w:tc>
        <w:tc>
          <w:tcPr>
            <w:tcW w:type="dxa" w:w="960"/>
          </w:tcPr>
          <w:p>
            <w:r>
              <w:rPr>
                <w:rFonts w:ascii="Calibri" w:hAnsi="Calibri"/>
                <w:sz w:val="22"/>
              </w:rPr>
              <w:t>Q2 2026 Earnings</w:t>
            </w:r>
          </w:p>
        </w:tc>
        <w:tc>
          <w:tcPr>
            <w:tcW w:type="dxa" w:w="960"/>
          </w:tcPr>
          <w:p>
            <w:r>
              <w:rPr>
                <w:rFonts w:ascii="Calibri" w:hAnsi="Calibri"/>
                <w:b/>
                <w:color w:val="30A46C"/>
                <w:sz w:val="22"/>
              </w:rPr>
              <w:t>↑ Positive</w:t>
            </w:r>
          </w:p>
        </w:tc>
        <w:tc>
          <w:tcPr>
            <w:tcW w:type="dxa" w:w="960"/>
          </w:tcPr>
          <w:p>
            <w:r>
              <w:rPr>
                <w:rFonts w:ascii="Calibri" w:hAnsi="Calibri"/>
                <w:b/>
                <w:color w:val="30A46C"/>
                <w:sz w:val="22"/>
              </w:rPr>
              <w:t>↑ Positive</w:t>
            </w:r>
          </w:p>
        </w:tc>
        <w:tc>
          <w:tcPr>
            <w:tcW w:type="dxa" w:w="960"/>
          </w:tcPr>
          <w:p>
            <w:r>
              <w:rPr>
                <w:rFonts w:ascii="Calibri" w:hAnsi="Calibri"/>
                <w:b/>
                <w:color w:val="30A46C"/>
                <w:sz w:val="22"/>
              </w:rPr>
              <w:t>↑ Positive</w:t>
            </w:r>
          </w:p>
        </w:tc>
        <w:tc>
          <w:tcPr>
            <w:tcW w:type="dxa" w:w="960"/>
          </w:tcPr>
          <w:p>
            <w:r>
              <w:rPr>
                <w:rFonts w:ascii="Calibri" w:hAnsi="Calibri"/>
                <w:sz w:val="22"/>
              </w:rPr>
              <w:t>Mixed</w:t>
            </w:r>
          </w:p>
        </w:tc>
        <w:tc>
          <w:tcPr>
            <w:tcW w:type="dxa" w:w="960"/>
          </w:tcPr>
          <w:p>
            <w:r>
              <w:rPr>
                <w:rFonts w:ascii="Calibri" w:hAnsi="Calibri"/>
                <w:sz w:val="22"/>
              </w:rPr>
              <w:t>Mixed</w:t>
            </w:r>
          </w:p>
        </w:tc>
        <w:tc>
          <w:tcPr>
            <w:tcW w:type="dxa" w:w="960"/>
          </w:tcPr>
          <w:p>
            <w:r>
              <w:rPr>
                <w:rFonts w:ascii="Calibri" w:hAnsi="Calibri"/>
                <w:b/>
                <w:color w:val="30A46C"/>
                <w:sz w:val="22"/>
              </w:rPr>
              <w:t>↑ Positive</w:t>
            </w:r>
          </w:p>
        </w:tc>
      </w:tr>
      <w:tr>
        <w:tc>
          <w:tcPr>
            <w:tcW w:type="dxa" w:w="960"/>
          </w:tcPr>
          <w:p>
            <w:r>
              <w:rPr>
                <w:rFonts w:ascii="Calibri" w:hAnsi="Calibri"/>
                <w:sz w:val="22"/>
              </w:rPr>
              <w:t>PRIM</w:t>
            </w:r>
          </w:p>
        </w:tc>
        <w:tc>
          <w:tcPr>
            <w:tcW w:type="dxa" w:w="960"/>
          </w:tcPr>
          <w:p>
            <w:r>
              <w:rPr>
                <w:rFonts w:ascii="Calibri" w:hAnsi="Calibri"/>
                <w:sz w:val="22"/>
              </w:rPr>
              <w:t>Jun 24</w:t>
            </w:r>
          </w:p>
        </w:tc>
        <w:tc>
          <w:tcPr>
            <w:tcW w:type="dxa" w:w="960"/>
          </w:tcPr>
          <w:p>
            <w:r>
              <w:rPr>
                <w:rFonts w:ascii="Calibri" w:hAnsi="Calibri"/>
                <w:sz w:val="22"/>
              </w:rPr>
              <w:t>JP Morgan Conf.</w:t>
            </w:r>
          </w:p>
        </w:tc>
        <w:tc>
          <w:tcPr>
            <w:tcW w:type="dxa" w:w="960"/>
          </w:tcPr>
          <w:p>
            <w:r>
              <w:rPr>
                <w:rFonts w:ascii="Calibri" w:hAnsi="Calibri"/>
                <w:sz w:val="22"/>
              </w:rPr>
              <w:t>Mixed</w:t>
            </w:r>
          </w:p>
        </w:tc>
        <w:tc>
          <w:tcPr>
            <w:tcW w:type="dxa" w:w="960"/>
          </w:tcPr>
          <w:p>
            <w:r>
              <w:rPr>
                <w:rFonts w:ascii="Calibri" w:hAnsi="Calibri"/>
                <w:b/>
                <w:color w:val="30A46C"/>
                <w:sz w:val="22"/>
              </w:rPr>
              <w:t>↑ Positive</w:t>
            </w:r>
          </w:p>
        </w:tc>
        <w:tc>
          <w:tcPr>
            <w:tcW w:type="dxa" w:w="960"/>
          </w:tcPr>
          <w:p>
            <w:r>
              <w:rPr>
                <w:rFonts w:ascii="Calibri" w:hAnsi="Calibri"/>
                <w:b/>
                <w:color w:val="30A46C"/>
                <w:sz w:val="22"/>
              </w:rPr>
              <w:t>↑ Strongly Positive</w:t>
            </w:r>
          </w:p>
        </w:tc>
        <w:tc>
          <w:tcPr>
            <w:tcW w:type="dxa" w:w="960"/>
          </w:tcPr>
          <w:p>
            <w:r>
              <w:rPr>
                <w:rFonts w:ascii="Calibri" w:hAnsi="Calibri"/>
                <w:b/>
                <w:color w:val="E5484D"/>
                <w:sz w:val="22"/>
              </w:rPr>
              <w:t>↑ Mixed (renewables drag)</w:t>
            </w:r>
          </w:p>
        </w:tc>
        <w:tc>
          <w:tcPr>
            <w:tcW w:type="dxa" w:w="960"/>
          </w:tcPr>
          <w:p>
            <w:r>
              <w:rPr>
                <w:rFonts w:ascii="Calibri" w:hAnsi="Calibri"/>
                <w:sz w:val="22"/>
              </w:rPr>
              <w:t>N/A</w:t>
            </w:r>
          </w:p>
        </w:tc>
        <w:tc>
          <w:tcPr>
            <w:tcW w:type="dxa" w:w="960"/>
          </w:tcPr>
          <w:p>
            <w:r>
              <w:rPr>
                <w:rFonts w:ascii="Calibri" w:hAnsi="Calibri"/>
                <w:sz w:val="22"/>
              </w:rPr>
              <w:t>Mixed (gas/T&amp;D positive; renewables negative)</w:t>
            </w:r>
          </w:p>
        </w:tc>
      </w:tr>
    </w:tbl>
    <w:p>
      <w:r>
        <w:rPr>
          <w:rFonts w:ascii="Calibri" w:hAnsi="Calibri"/>
          <w:b/>
          <w:color w:val="525866"/>
          <w:sz w:val="22"/>
        </w:rPr>
        <w:t xml:space="preserve">Synthesis: </w:t>
      </w:r>
      <w:r>
        <w:rPr>
          <w:rFonts w:ascii="Calibri" w:hAnsi="Calibri"/>
          <w:color w:val="525866"/>
          <w:sz w:val="22"/>
        </w:rPr>
        <w:t>The peer read-through mosaic heading into PWR's Q2 2026 print is the most constructive it has been in several quarters. FIX (July 24), DY (July 8), and STRL (June 3) all describe demand as "incredible," "robust," or "growing at a rate I could have never imagined" — language that directly validates PWR's own characterization of the demand environment. Record backlogs at FIX ($14.1B, +73% YoY same-store) and MYRG ($3.16B, +19.6% YoY) confirm that bookings momentum is real and broad-based. The only meaningful negative read-through is PRIM's Q2 EBITDA near break-even, but this is explicitly ring-fenced to six distressed fixed-price renewables projects — a risk profile PWR does not share. The consistent theme across all peers is that labor constraints (particularly union electrical) are real but manageable for scale players with prefab/modular capabilities, which is precisely where PWR has invested most aggressively. Sources: FIX Q2 2026 Earnings Call Transcript and Earnings Release (July 23–24, 2026); EME William Blair Growth Stock Conference Transcript (June 2, 2026); DY Guggenheim Securities Virtual Fireside Chat Transcript (July 8, 2026); STRL William Blair Growth Stock Conference Transcript (June 3, 2026); MYRG Q2 2026 Earnings Release (July 29, 2026); PRIM JP Morgan Natural Resources Conference Transcript (June 24,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