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ypl-earnings-predictions--2026-07-28"/>
    <w:p>
      <w:pPr>
        <w:pStyle w:val="Heading1"/>
      </w:pPr>
      <w:r>
        <w:t xml:space="preserve">PYPL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Branded checkout TPV growth (FXN)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~+1% vs. cons ~+2.5%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Transaction margin dollars growth (YoY)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~-3.5% vs. cons ~-2.5%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(reaffirm vs. cut)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5.25</m:t>
              </m:r>
              <m:r>
                <m:rPr>
                  <m:sty m:val="p"/>
                </m:rPr>
                <m:t>(</m:t>
              </m:r>
              <m:r>
                <m:t>d</m:t>
              </m:r>
              <m:r>
                <m:t>o</m:t>
              </m:r>
              <m:r>
                <m:t>w</m:t>
              </m:r>
              <m:r>
                <m:t>n</m:t>
              </m:r>
              <m:r>
                <m:t>L</m:t>
              </m:r>
              <m:r>
                <m:t>S</m:t>
              </m:r>
              <m:r>
                <m:t>D</m:t>
              </m:r>
              <m:r>
                <m:t>t</m:t>
              </m:r>
              <m:r>
                <m:t>o</m:t>
              </m:r>
              <m:r>
                <m:t>s</m:t>
              </m:r>
              <m:r>
                <m:t>l</m:t>
              </m:r>
              <m:r>
                <m:t>i</m:t>
              </m:r>
              <m:r>
                <m:t>g</m:t>
              </m:r>
              <m:r>
                <m:t>h</m:t>
              </m:r>
              <m:r>
                <m:t>t</m:t>
              </m:r>
              <m:r>
                <m:t>l</m:t>
              </m:r>
              <m:r>
                <m:t>y</m:t>
              </m:r>
              <m:r>
                <m:t>u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transaction margin dollars ex-interest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~flat/-1% vs. cons ~+1%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Board/M&amp;A response to Stripe-Advent $60.50 bid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stock ~$56 vs. bid $60.50 (spread ~8%); board deems 'inadequate' — no formal engagement expected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$1.5B cost-savings program cadence /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6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6B expected; ≥$1.5B run-rate savings over 2-3yrs (FY2026-28)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PYPL trades as a merger-arb special situation, not a fundamentals stock: with shares ~$56 vs. a $60.50 bid the board calls inadequate, the deal spread anchors price and dampens the usual out-period revision math. A soft-but-guided Q2 (branded-checkout stall, ~9% EPS decline) is largely pre-announced, so any day-1 pop on a clean print/reaffirmed guide (which strengthens the board's 'lowball' argument) neither fully follows through nor fully fades — it stabilizes near the arb-implied level. Downside risk if checkout deteriorates and emboldens bidders/no counter emerges; upside if board signals value-maximization or a higher bid. Net: range-bound around the spread.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2026-07-28T00:03:38Z</dcterms:created>
  <dcterms:modified xsi:type="dcterms:W3CDTF">2026-07-28T00:03:38Z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