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PYPL thoroughly before writing the preview. Let me start by gathering recent earnings materials, news, and analyst context.The takeover bid is clearly the dominant storyline. Let me dig into the latest earnings materials and recent developments.Now let me get recent stock price action and the latest takeover developments plus consensus expectations.I have strong material. Let me do one quick check for analyst/consensus context around this report.I now have a comprehensive picture. Let me write the preview.</w:t>
      </w:r>
    </w:p>
    <w:bookmarkStart w:id="18" w:name="paypal-pypl--q2-2026-earnings-preview"/>
    <w:p>
      <w:pPr>
        <w:pStyle w:val="Heading1"/>
      </w:pPr>
      <w:r>
        <w:t xml:space="preserve">PayPal (PYPL) — Q2 2026 Earnings Preview</w:t>
      </w:r>
    </w:p>
    <w:bookmarkStart w:id="9" w:name="X6ac709dadb1aad2b1f55b0f9cb6cb2d2791840b"/>
    <w:p>
      <w:pPr>
        <w:pStyle w:val="Heading3"/>
      </w:pPr>
      <w:r>
        <w:t xml:space="preserve">Report expected pre-market Tuesday, July 28, 2026 | 2026Q2 Earnings Call</w:t>
      </w:r>
    </w:p>
    <w:p>
      <w:r>
        <w:pict>
          <v:rect style="width:0;height:1.5pt" o:hralign="center" o:hrstd="t" o:hr="t"/>
        </w:pict>
      </w:r>
    </w:p>
    <w:bookmarkEnd w:id="9"/>
    <w:bookmarkStart w:id="10" w:name="X868f52b155ee2fad4b29d9477aadf550e37fcf1"/>
    <w:p>
      <w:pPr>
        <w:pStyle w:val="Heading2"/>
      </w:pPr>
      <w:r>
        <w:t xml:space="preserve">The one thing that matters: this is now an M&amp;A story</w:t>
      </w:r>
    </w:p>
    <w:p>
      <w:pPr>
        <w:pStyle w:val="FirstParagraph"/>
      </w:pPr>
      <w:r>
        <w:t xml:space="preserve">Everything about this print sits in the shadow of a takeover approach. On July 15, Reuters and others reported that</w:t>
      </w:r>
      <w:r>
        <w:t xml:space="preserve"> </w:t>
      </w:r>
      <w:r>
        <w:rPr>
          <w:b/>
          <w:bCs/>
        </w:rPr>
        <w:t xml:space="preserve">Stripe and private-equity firm Advent International made a joint offer to acquire PayPal for $60.50 per share, valuing the company at more than</w:t>
      </w:r>
      <w:r>
        <w:rPr>
          <w:b/>
          <w:bCs/>
        </w:rPr>
        <w:t xml:space="preserve"> </w:t>
      </w:r>
      <m:oMath>
        <m:r>
          <m:t>53</m:t>
        </m:r>
        <m:r>
          <m:t>b</m:t>
        </m:r>
        <m:r>
          <m:t>i</m:t>
        </m:r>
        <m:r>
          <m:t>l</m:t>
        </m:r>
        <m:r>
          <m:t>l</m:t>
        </m:r>
        <m:r>
          <m:t>i</m:t>
        </m:r>
        <m:r>
          <m:t>o</m:t>
        </m:r>
        <m:r>
          <m:t>n</m:t>
        </m:r>
        <m:r>
          <m:rPr>
            <m:sty m:val="p"/>
          </m:rPr>
          <m:t>*</m:t>
        </m:r>
        <m:r>
          <m:rPr>
            <m:sty m:val="p"/>
          </m:rPr>
          <m:t>*</m:t>
        </m:r>
        <m:r>
          <m:rPr>
            <m:sty m:val="p"/>
          </m:rPr>
          <m:t>—</m:t>
        </m:r>
        <m:r>
          <m:t>a</m:t>
        </m:r>
        <m:r>
          <m:t>r</m:t>
        </m:r>
        <m:r>
          <m:t>o</m:t>
        </m:r>
        <m:r>
          <m:t>u</m:t>
        </m:r>
        <m:r>
          <m:t>g</m:t>
        </m:r>
        <m:r>
          <m:t>h</m:t>
        </m:r>
        <m:r>
          <m:t>l</m:t>
        </m:r>
        <m:r>
          <m:t>y</m:t>
        </m:r>
        <m:r>
          <m:rPr>
            <m:sty m:val="p"/>
          </m:rPr>
          <m:t>*</m:t>
        </m:r>
        <m:r>
          <m:rPr>
            <m:sty m:val="p"/>
          </m:rPr>
          <m:t>*</m:t>
        </m:r>
        <m:r>
          <m:t>28</m:t>
        </m:r>
      </m:oMath>
      <w:r>
        <w:rPr>
          <w:b/>
          <w:bCs/>
        </w:rPr>
        <w:t xml:space="preserve">50 billion in committed bank financing</w:t>
      </w:r>
      <w:r>
        <w:t xml:space="preserve">, with Stripe and Advent intending to jointly own the company via equal stakes rather than break it up.</w:t>
      </w:r>
    </w:p>
    <w:p>
      <w:pPr>
        <w:pStyle w:val="BodyText"/>
      </w:pPr>
      <w:r>
        <w:t xml:space="preserve">The stock reacted violently: PYPL closed</w:t>
      </w:r>
      <w:r>
        <w:t xml:space="preserve"> </w:t>
      </w:r>
      <w:r>
        <w:rPr>
          <w:b/>
          <w:bCs/>
        </w:rPr>
        <w:t xml:space="preserve">$47.37 on July 14, jumped to</w:t>
      </w:r>
      <w:r>
        <w:rPr>
          <w:b/>
          <w:bCs/>
        </w:rPr>
        <w:t xml:space="preserve"> </w:t>
      </w:r>
      <m:oMath>
        <m:r>
          <m:t>55.52</m:t>
        </m:r>
        <m:r>
          <m:rPr>
            <m:sty m:val="p"/>
          </m:rPr>
          <m:t>(</m:t>
        </m:r>
        <m:r>
          <m:rPr>
            <m:sty m:val="p"/>
          </m:rPr>
          <m:t>+</m:t>
        </m:r>
        <m:r>
          <m:t>17</m:t>
        </m:r>
      </m:oMath>
      <w:r>
        <w:rPr>
          <w:b/>
          <w:bCs/>
        </w:rPr>
        <w:t xml:space="preserve">56.09 on July 27</w:t>
      </w:r>
      <w:r>
        <w:t xml:space="preserve"> </w:t>
      </w:r>
      <w:r>
        <w:t xml:space="preserve">— its best week since 2022. That leaves shares trading roughly</w:t>
      </w:r>
      <w:r>
        <w:t xml:space="preserve"> </w:t>
      </w:r>
      <w:r>
        <w:rPr>
          <w:b/>
          <w:bCs/>
        </w:rPr>
        <w:t xml:space="preserve">~8% below the $60.50 bid</w:t>
      </w:r>
      <w:r>
        <w:t xml:space="preserve">, a spread that signals the market assigns meaningful — but far from certain — deal probability.</w:t>
      </w:r>
    </w:p>
    <w:p>
      <w:pPr>
        <w:pStyle w:val="BodyText"/>
      </w:pPr>
      <w:r>
        <w:t xml:space="preserve">Critically,</w:t>
      </w:r>
      <w:r>
        <w:t xml:space="preserve"> </w:t>
      </w:r>
      <w:r>
        <w:rPr>
          <w:b/>
          <w:bCs/>
        </w:rPr>
        <w:t xml:space="preserve">PayPal's board reportedly views the offer as inadequate</w:t>
      </w:r>
      <w:r>
        <w:t xml:space="preserve">, seeing it as undervaluing the company and citing regulatory and financing obstacles. Reporting also suggests the ~</w:t>
      </w:r>
      <m:oMath>
        <m:r>
          <m:t>60.50</m:t>
        </m:r>
        <m:r>
          <m:t>b</m:t>
        </m:r>
        <m:r>
          <m:t>i</m:t>
        </m:r>
        <m:r>
          <m:t>d</m:t>
        </m:r>
        <m:r>
          <m:rPr>
            <m:sty m:val="p"/>
          </m:rPr>
          <m:t>(</m:t>
        </m:r>
        <m:r>
          <m:t>w</m:t>
        </m:r>
        <m:r>
          <m:t>h</m:t>
        </m:r>
        <m:r>
          <m:t>i</m:t>
        </m:r>
        <m:r>
          <m:t>c</m:t>
        </m:r>
        <m:r>
          <m:t>h</m:t>
        </m:r>
        <m:r>
          <m:t>f</m:t>
        </m:r>
        <m:r>
          <m:t>o</m:t>
        </m:r>
        <m:r>
          <m:t>l</m:t>
        </m:r>
        <m:r>
          <m:t>l</m:t>
        </m:r>
        <m:r>
          <m:t>o</m:t>
        </m:r>
        <m:r>
          <m:t>w</m:t>
        </m:r>
        <m:r>
          <m:t>e</m:t>
        </m:r>
        <m:r>
          <m:t>d</m:t>
        </m:r>
        <m:r>
          <m:t>a</m:t>
        </m:r>
        <m:r>
          <m:t>n</m:t>
        </m:r>
        <m:r>
          <m:t>i</m:t>
        </m:r>
        <m:r>
          <m:t>n</m:t>
        </m:r>
        <m:r>
          <m:t>i</m:t>
        </m:r>
        <m:r>
          <m:t>t</m:t>
        </m:r>
        <m:r>
          <m:t>i</m:t>
        </m:r>
        <m:r>
          <m:t>a</m:t>
        </m:r>
        <m:r>
          <m:t>l</m:t>
        </m:r>
        <m:r>
          <m:t>A</m:t>
        </m:r>
        <m:r>
          <m:t>p</m:t>
        </m:r>
        <m:r>
          <m:t>r</m:t>
        </m:r>
        <m:r>
          <m:t>i</m:t>
        </m:r>
        <m:r>
          <m:t>l</m:t>
        </m:r>
        <m:r>
          <m:t>a</m:t>
        </m:r>
        <m:r>
          <m:t>p</m:t>
        </m:r>
        <m:r>
          <m:t>p</m:t>
        </m:r>
        <m:r>
          <m:t>r</m:t>
        </m:r>
        <m:r>
          <m:t>o</m:t>
        </m:r>
        <m:r>
          <m:t>a</m:t>
        </m:r>
        <m:r>
          <m:t>c</m:t>
        </m:r>
        <m:r>
          <m:t>h</m:t>
        </m:r>
        <m:r>
          <m:rPr>
            <m:sty m:val="p"/>
          </m:rPr>
          <m:t>)</m:t>
        </m:r>
        <m:r>
          <m:t>c</m:t>
        </m:r>
        <m:r>
          <m:t>o</m:t>
        </m:r>
        <m:r>
          <m:t>u</m:t>
        </m:r>
        <m:r>
          <m:t>l</m:t>
        </m:r>
        <m:r>
          <m:t>d</m:t>
        </m:r>
        <m:r>
          <m:t>l</m:t>
        </m:r>
        <m:r>
          <m:t>e</m:t>
        </m:r>
        <m:r>
          <m:t>a</m:t>
        </m:r>
        <m:r>
          <m:t>v</m:t>
        </m:r>
        <m:r>
          <m:t>e</m:t>
        </m:r>
        <m:r>
          <m:t>r</m:t>
        </m:r>
        <m:r>
          <m:t>o</m:t>
        </m:r>
        <m:r>
          <m:t>o</m:t>
        </m:r>
        <m:r>
          <m:t>m</m:t>
        </m:r>
        <m:r>
          <m:t>f</m:t>
        </m:r>
        <m:r>
          <m:t>o</m:t>
        </m:r>
        <m:r>
          <m:t>r</m:t>
        </m:r>
        <m:r>
          <m:t>a</m:t>
        </m:r>
        <m:r>
          <m:t>h</m:t>
        </m:r>
        <m:r>
          <m:t>i</m:t>
        </m:r>
        <m:r>
          <m:t>g</m:t>
        </m:r>
        <m:r>
          <m:t>h</m:t>
        </m:r>
        <m:r>
          <m:t>e</m:t>
        </m:r>
        <m:r>
          <m:t>r</m:t>
        </m:r>
        <m:r>
          <m:t>o</m:t>
        </m:r>
        <m:r>
          <m:t>f</m:t>
        </m:r>
        <m:r>
          <m:t>f</m:t>
        </m:r>
        <m:r>
          <m:t>e</m:t>
        </m:r>
        <m:r>
          <m:t>r</m:t>
        </m:r>
        <m:r>
          <m:rPr>
            <m:sty m:val="p"/>
          </m:rPr>
          <m:t>,</m:t>
        </m:r>
        <m:r>
          <m:t>a</m:t>
        </m:r>
        <m:r>
          <m:t>n</m:t>
        </m:r>
        <m:r>
          <m:t>d</m:t>
        </m:r>
        <m:r>
          <m:t>s</m:t>
        </m:r>
        <m:r>
          <m:t>e</m:t>
        </m:r>
        <m:r>
          <m:t>p</m:t>
        </m:r>
        <m:r>
          <m:t>a</m:t>
        </m:r>
        <m:r>
          <m:t>r</m:t>
        </m:r>
        <m:r>
          <m:t>a</m:t>
        </m:r>
        <m:r>
          <m:t>t</m:t>
        </m:r>
        <m:r>
          <m:t>e</m:t>
        </m:r>
        <m:r>
          <m:t>c</m:t>
        </m:r>
        <m:r>
          <m:t>o</m:t>
        </m:r>
        <m:r>
          <m:t>v</m:t>
        </m:r>
        <m:r>
          <m:t>e</m:t>
        </m:r>
        <m:r>
          <m:t>r</m:t>
        </m:r>
        <m:r>
          <m:t>a</m:t>
        </m:r>
        <m:r>
          <m:t>g</m:t>
        </m:r>
        <m:r>
          <m:t>e</m:t>
        </m:r>
        <m:r>
          <m:t>n</m:t>
        </m:r>
        <m:r>
          <m:t>o</m:t>
        </m:r>
        <m:r>
          <m:t>t</m:t>
        </m:r>
        <m:r>
          <m:t>e</m:t>
        </m:r>
        <m:r>
          <m:t>s</m:t>
        </m:r>
        <m:r>
          <m:t>S</m:t>
        </m:r>
        <m:r>
          <m:t>t</m:t>
        </m:r>
        <m:r>
          <m:t>r</m:t>
        </m:r>
        <m:r>
          <m:t>i</m:t>
        </m:r>
        <m:r>
          <m:t>p</m:t>
        </m:r>
        <m:r>
          <m:t>e</m:t>
        </m:r>
        <m:r>
          <m:t>g</m:t>
        </m:r>
        <m:r>
          <m:t>e</m:t>
        </m:r>
        <m:r>
          <m:t>n</m:t>
        </m:r>
        <m:r>
          <m:t>e</m:t>
        </m:r>
        <m:r>
          <m:t>r</m:t>
        </m:r>
        <m:r>
          <m:t>a</m:t>
        </m:r>
        <m:r>
          <m:t>t</m:t>
        </m:r>
        <m:r>
          <m:t>e</m:t>
        </m:r>
        <m:r>
          <m:t>d</m:t>
        </m:r>
        <m:r>
          <m:rPr>
            <m:sty m:val="p"/>
          </m:rPr>
          <m:t>*</m:t>
        </m:r>
        <m:r>
          <m:rPr>
            <m:sty m:val="p"/>
          </m:rPr>
          <m:t>*</m:t>
        </m:r>
        <m:r>
          <m:rPr>
            <m:sty m:val="p"/>
          </m:rPr>
          <m:t>&gt;</m:t>
        </m:r>
      </m:oMath>
      <w:r>
        <w:t xml:space="preserve">3 billion of free cash flow in 2025 (up &gt;50%)**, giving it capacity to pursue the deal.</w:t>
      </w:r>
    </w:p>
    <w:p>
      <w:pPr>
        <w:pStyle w:val="BodyText"/>
      </w:pPr>
      <w:r>
        <w:rPr>
          <w:b/>
          <w:bCs/>
        </w:rPr>
        <w:t xml:space="preserve">Why this dominates the print:</w:t>
      </w:r>
      <w:r>
        <w:t xml:space="preserve"> </w:t>
      </w:r>
      <w:r>
        <w:t xml:space="preserve">Fundamentals still matter, but they now matter mostly as ammunition in a valuation fight. A strong quarter strengthens the board's "you're lowballing us" argument; a weak quarter emboldens the bidders and pressures the board to engage. Expect this earnings call to be unusually delicate — management will likely limit or deflect M&amp;A commentary while leaning hard on the standalone transformation story.</w:t>
      </w:r>
    </w:p>
    <w:p>
      <w:r>
        <w:pict>
          <v:rect style="width:0;height:1.5pt" o:hralign="center" o:hrstd="t" o:hr="t"/>
        </w:pict>
      </w:r>
    </w:p>
    <w:bookmarkEnd w:id="10"/>
    <w:bookmarkStart w:id="14" w:name="X79e4a2866c7425c2bd538d1a40691bd07613e8e"/>
    <w:p>
      <w:pPr>
        <w:pStyle w:val="Heading2"/>
      </w:pPr>
      <w:r>
        <w:t xml:space="preserve">The fundamental setup: management guided Q2 to be the ugliest quarter of the year</w:t>
      </w:r>
    </w:p>
    <w:p>
      <w:pPr>
        <w:pStyle w:val="FirstParagraph"/>
      </w:pPr>
      <w:r>
        <w:t xml:space="preserve">This is a rare case where the company effectively pre-announced that the numbers would look bad — and explained why. On the Q1 call (May 5), CFO/COO Jamie Miller flagged Q2 as</w:t>
      </w:r>
      <w:r>
        <w:t xml:space="preserve"> </w:t>
      </w:r>
      <w:r>
        <w:rPr>
          <w:b/>
          <w:bCs/>
        </w:rPr>
        <w:t xml:space="preserve">"the most demanding year-over-year comparison this year."</w:t>
      </w:r>
    </w:p>
    <w:bookmarkStart w:id="11" w:name="what-guidance-implies-for-the-print"/>
    <w:p>
      <w:pPr>
        <w:pStyle w:val="Heading3"/>
      </w:pPr>
      <w:r>
        <w:t xml:space="preserve">What guidance implies for the print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Q2'26 Guide</w:t>
            </w:r>
          </w:p>
        </w:tc>
        <w:tc>
          <w:tcPr/>
          <w:p>
            <w:pPr>
              <w:pStyle w:val="Compact"/>
            </w:pPr>
            <w:r>
              <w:t xml:space="preserve">Q2'25 Actual</w:t>
            </w:r>
          </w:p>
        </w:tc>
        <w:tc>
          <w:tcPr/>
          <w:p>
            <w:pPr>
              <w:pStyle w:val="Compact"/>
            </w:pPr>
            <w:r>
              <w:t xml:space="preserve">Implied Direction</w:t>
            </w:r>
          </w:p>
        </w:tc>
      </w:tr>
      <w:tr>
        <w:tc>
          <w:tcPr/>
          <w:p>
            <w:pPr>
              <w:pStyle w:val="Compact"/>
            </w:pPr>
            <w:r>
              <w:t xml:space="preserve">Revenue (FXN)</w:t>
            </w:r>
          </w:p>
        </w:tc>
        <w:tc>
          <w:tcPr/>
          <w:p>
            <w:pPr>
              <w:pStyle w:val="Compact"/>
            </w:pPr>
            <w:r>
              <w:t xml:space="preserve">Low-single-digit growth</w:t>
            </w:r>
          </w:p>
        </w:tc>
        <w:tc>
          <w:tcPr/>
          <w:p>
            <w:pPr>
              <w:pStyle w:val="Compact"/>
            </w:pPr>
            <w:r>
              <w:t xml:space="preserve">—</w:t>
            </w:r>
          </w:p>
        </w:tc>
        <w:tc>
          <w:tcPr/>
          <w:p>
            <w:pPr>
              <w:pStyle w:val="Compact"/>
            </w:pPr>
            <w:r>
              <w:t xml:space="preserve">Decelerating</w:t>
            </w:r>
          </w:p>
        </w:tc>
      </w:tr>
      <w:tr>
        <w:tc>
          <w:tcPr/>
          <w:p>
            <w:pPr>
              <w:pStyle w:val="Compact"/>
            </w:pPr>
            <w:r>
              <w:t xml:space="preserve">Transaction margin dollars</w:t>
            </w:r>
          </w:p>
        </w:tc>
        <w:tc>
          <w:tcPr/>
          <w:p>
            <w:pPr>
              <w:pStyle w:val="Compact"/>
            </w:pPr>
            <w:r>
              <w:t xml:space="preserve">~ -3%</w:t>
            </w:r>
          </w:p>
        </w:tc>
        <w:tc>
          <w:tcPr/>
          <w:p>
            <w:pPr>
              <w:pStyle w:val="Compact"/>
            </w:pPr>
            <w:r>
              <w:t xml:space="preserve">—</w:t>
            </w:r>
          </w:p>
        </w:tc>
        <w:tc>
          <w:tcPr/>
          <w:p>
            <w:pPr>
              <w:pStyle w:val="Compact"/>
            </w:pPr>
            <w:r>
              <w:rPr>
                <w:b/>
                <w:bCs/>
              </w:rPr>
              <w:t xml:space="preserve">Decline</w:t>
            </w:r>
          </w:p>
        </w:tc>
      </w:tr>
      <w:tr>
        <w:tc>
          <w:tcPr/>
          <w:p>
            <w:pPr>
              <w:pStyle w:val="Compact"/>
            </w:pPr>
            <w:r>
              <w:t xml:space="preserve">TM$ ex-interest on balances</w:t>
            </w:r>
          </w:p>
        </w:tc>
        <w:tc>
          <w:tcPr/>
          <w:p>
            <w:pPr>
              <w:pStyle w:val="Compact"/>
            </w:pPr>
            <w:r>
              <w:t xml:space="preserve">~ -2%</w:t>
            </w:r>
          </w:p>
        </w:tc>
        <w:tc>
          <w:tcPr/>
          <w:p>
            <w:pPr>
              <w:pStyle w:val="Compact"/>
            </w:pPr>
            <w:r>
              <w:t xml:space="preserve">—</w:t>
            </w:r>
          </w:p>
        </w:tc>
        <w:tc>
          <w:tcPr/>
          <w:p>
            <w:pPr>
              <w:pStyle w:val="Compact"/>
            </w:pPr>
            <w:r>
              <w:rPr>
                <w:b/>
                <w:bCs/>
              </w:rPr>
              <w:t xml:space="preserve">Decline</w:t>
            </w:r>
          </w:p>
        </w:tc>
      </w:tr>
      <w:tr>
        <w:tc>
          <w:tcPr/>
          <w:p>
            <w:pPr>
              <w:pStyle w:val="Compact"/>
            </w:pPr>
            <w:r>
              <w:t xml:space="preserve">Non-transaction OpEx</w:t>
            </w:r>
          </w:p>
        </w:tc>
        <w:tc>
          <w:tcPr/>
          <w:p>
            <w:pPr>
              <w:pStyle w:val="Compact"/>
            </w:pPr>
            <w:r>
              <w:t xml:space="preserve">Mid-single-digit growth</w:t>
            </w:r>
          </w:p>
        </w:tc>
        <w:tc>
          <w:tcPr/>
          <w:p>
            <w:pPr>
              <w:pStyle w:val="Compact"/>
            </w:pPr>
            <w:r>
              <w:t xml:space="preserve">—</w:t>
            </w:r>
          </w:p>
        </w:tc>
        <w:tc>
          <w:tcPr/>
          <w:p>
            <w:pPr>
              <w:pStyle w:val="Compact"/>
            </w:pPr>
            <w:r>
              <w:t xml:space="preserve">Rising (front-loaded investment)</w:t>
            </w:r>
          </w:p>
        </w:tc>
      </w:tr>
      <w:tr>
        <w:tc>
          <w:tcPr/>
          <w:p>
            <w:pPr>
              <w:pStyle w:val="Compact"/>
            </w:pPr>
            <w:r>
              <w:t xml:space="preserve">Non-GAAP EPS</w:t>
            </w:r>
          </w:p>
        </w:tc>
        <w:tc>
          <w:tcPr/>
          <w:p>
            <w:pPr>
              <w:pStyle w:val="Compact"/>
            </w:pPr>
            <w:r>
              <w:t xml:space="preserve">~ -9% (≈</w:t>
            </w:r>
            <w:r>
              <w:t xml:space="preserve"> </w:t>
            </w:r>
            <w:r>
              <w:rPr>
                <w:b/>
                <w:bCs/>
              </w:rPr>
              <w:t xml:space="preserve">$1.27–1.28</w:t>
            </w:r>
            <w:r>
              <w:t xml:space="preserve">)</w:t>
            </w:r>
          </w:p>
        </w:tc>
        <w:tc>
          <w:tcPr/>
          <w:p>
            <w:pPr>
              <w:pStyle w:val="Compact"/>
            </w:pPr>
            <w:r>
              <w:t xml:space="preserve">$1.40</w:t>
            </w:r>
          </w:p>
        </w:tc>
        <w:tc>
          <w:tcPr/>
          <w:p>
            <w:pPr>
              <w:pStyle w:val="Compact"/>
            </w:pPr>
            <w:r>
              <w:rPr>
                <w:b/>
                <w:bCs/>
              </w:rPr>
              <w:t xml:space="preserve">Down</w:t>
            </w:r>
          </w:p>
        </w:tc>
      </w:tr>
      <w:tr>
        <w:tc>
          <w:tcPr/>
          <w:p>
            <w:pPr>
              <w:pStyle w:val="Compact"/>
            </w:pPr>
            <w:r>
              <w:t xml:space="preserve">GAAP EPS</w:t>
            </w:r>
          </w:p>
        </w:tc>
        <w:tc>
          <w:tcPr/>
          <w:p>
            <w:pPr>
              <w:pStyle w:val="Compact"/>
            </w:pPr>
            <w:r>
              <w:t xml:space="preserve">Mid-single-digit decline (≈</w:t>
            </w:r>
            <w:r>
              <w:t xml:space="preserve"> </w:t>
            </w:r>
            <w:r>
              <w:rPr>
                <w:b/>
                <w:bCs/>
              </w:rPr>
              <w:t xml:space="preserve">$1.22–1.24</w:t>
            </w:r>
            <w:r>
              <w:t xml:space="preserve">)</w:t>
            </w:r>
          </w:p>
        </w:tc>
        <w:tc>
          <w:tcPr/>
          <w:p>
            <w:pPr>
              <w:pStyle w:val="Compact"/>
            </w:pPr>
            <w:r>
              <w:t xml:space="preserve">$1.29</w:t>
            </w:r>
          </w:p>
        </w:tc>
        <w:tc>
          <w:tcPr/>
          <w:p>
            <w:pPr>
              <w:pStyle w:val="Compact"/>
            </w:pPr>
            <w:r>
              <w:t xml:space="preserve">Down</w:t>
            </w:r>
          </w:p>
        </w:tc>
      </w:tr>
    </w:tbl>
    <w:p>
      <w:pPr>
        <w:pStyle w:val="BodyText"/>
      </w:pPr>
      <w:r>
        <w:t xml:space="preserve">The optics are self-inflicted but explainable. Miller cited</w:t>
      </w:r>
      <w:r>
        <w:t xml:space="preserve"> </w:t>
      </w:r>
      <w:r>
        <w:rPr>
          <w:b/>
          <w:bCs/>
        </w:rPr>
        <w:t xml:space="preserve">three specific comp headwinds</w:t>
      </w:r>
      <w:r>
        <w:t xml:space="preserve"> </w:t>
      </w:r>
      <w:r>
        <w:t xml:space="preserve">for Q2: (1) last year's Q2 had ~1.5 points of TM$ benefit from the renewal/expansion of a key payment-partner relationship plus very strong credit; (2) this year's growth investments ramp through the year, hitting Q2 harder than Q1; and (3) last year's Q2 non-transaction OpEx benefited from discrete G&amp;A items, including a non-recurring decline in indirect tax expense. In other words, a ~9% EPS decline is the plan, not a miss — but the market will still watch whether the company at least hits its own guide.</w:t>
      </w:r>
    </w:p>
    <w:bookmarkEnd w:id="11"/>
    <w:bookmarkStart w:id="12" w:name="X59b959a95ab1749d57e582e0f4cf9d47ce91fbe"/>
    <w:p>
      <w:pPr>
        <w:pStyle w:val="Heading3"/>
      </w:pPr>
      <w:r>
        <w:t xml:space="preserve">The number that actually moves the stock: branded checkout TPV</w:t>
      </w:r>
    </w:p>
    <w:p>
      <w:pPr>
        <w:pStyle w:val="Compact"/>
        <w:numPr>
          <w:ilvl w:val="0"/>
          <w:numId w:val="1001"/>
        </w:numPr>
      </w:pPr>
      <w:r>
        <w:t xml:space="preserve">Q1 branded checkout TPV grew</w:t>
      </w:r>
      <w:r>
        <w:t xml:space="preserve"> </w:t>
      </w:r>
      <w:r>
        <w:rPr>
          <w:b/>
          <w:bCs/>
        </w:rPr>
        <w:t xml:space="preserve">+2% FXN</w:t>
      </w:r>
      <w:r>
        <w:t xml:space="preserve">, up from +1% the prior quarter — a slight improvement but still weak.</w:t>
      </w:r>
    </w:p>
    <w:p>
      <w:pPr>
        <w:pStyle w:val="Compact"/>
        <w:numPr>
          <w:ilvl w:val="0"/>
          <w:numId w:val="1001"/>
        </w:numPr>
      </w:pPr>
      <w:r>
        <w:t xml:space="preserve">Management said</w:t>
      </w:r>
      <w:r>
        <w:t xml:space="preserve"> </w:t>
      </w:r>
      <w:r>
        <w:rPr>
          <w:b/>
          <w:bCs/>
        </w:rPr>
        <w:t xml:space="preserve">quarter-to-date trends were at the</w:t>
      </w:r>
      <w:r>
        <w:rPr>
          <w:b/>
          <w:bCs/>
        </w:rPr>
        <w:t xml:space="preserve"> </w:t>
      </w:r>
      <w:r>
        <w:rPr>
          <w:b/>
          <w:bCs/>
          <w:i/>
          <w:iCs/>
        </w:rPr>
        <w:t xml:space="preserve">low end</w:t>
      </w:r>
      <w:r>
        <w:rPr>
          <w:b/>
          <w:bCs/>
        </w:rPr>
        <w:t xml:space="preserve"> </w:t>
      </w:r>
      <w:r>
        <w:rPr>
          <w:b/>
          <w:bCs/>
        </w:rPr>
        <w:t xml:space="preserve">of full-year guidance</w:t>
      </w:r>
      <w:r>
        <w:t xml:space="preserve"> </w:t>
      </w:r>
      <w:r>
        <w:t xml:space="preserve">(slightly positive to low-single-digit growth), citing</w:t>
      </w:r>
      <w:r>
        <w:t xml:space="preserve"> </w:t>
      </w:r>
      <w:r>
        <w:rPr>
          <w:b/>
          <w:bCs/>
        </w:rPr>
        <w:t xml:space="preserve">softer travel vertical and muted Europe</w:t>
      </w:r>
      <w:r>
        <w:t xml:space="preserve"> </w:t>
      </w:r>
      <w:r>
        <w:t xml:space="preserve">(UK under pressure, Germany moderating).</w:t>
      </w:r>
    </w:p>
    <w:p>
      <w:pPr>
        <w:pStyle w:val="Compact"/>
        <w:numPr>
          <w:ilvl w:val="0"/>
          <w:numId w:val="1001"/>
        </w:numPr>
      </w:pPr>
      <w:r>
        <w:rPr>
          <w:b/>
          <w:bCs/>
        </w:rPr>
        <w:t xml:space="preserve">Watch for:</w:t>
      </w:r>
      <w:r>
        <w:t xml:space="preserve"> </w:t>
      </w:r>
      <w:r>
        <w:t xml:space="preserve">whether Q2 branded checkout held ~2% or slipped toward flat. Given the QTD warning, a stall here is the biggest fundamental downside risk — and would hand the bidders a talking point.</w:t>
      </w:r>
    </w:p>
    <w:bookmarkEnd w:id="12"/>
    <w:bookmarkStart w:id="13" w:name="where-the-business-is-genuinely-working"/>
    <w:p>
      <w:pPr>
        <w:pStyle w:val="Heading3"/>
      </w:pPr>
      <w:r>
        <w:t xml:space="preserve">Where the business is genuinely working</w:t>
      </w:r>
    </w:p>
    <w:p>
      <w:pPr>
        <w:pStyle w:val="Compact"/>
        <w:numPr>
          <w:ilvl w:val="0"/>
          <w:numId w:val="1002"/>
        </w:numPr>
      </w:pPr>
      <w:r>
        <w:rPr>
          <w:b/>
          <w:bCs/>
        </w:rPr>
        <w:t xml:space="preserve">Venmo TPV +14%</w:t>
      </w:r>
      <w:r>
        <w:t xml:space="preserve"> </w:t>
      </w:r>
      <w:r>
        <w:t xml:space="preserve">in Q1 (sixth straight quarter of double-digit growth); Pay with Venmo +34%.</w:t>
      </w:r>
    </w:p>
    <w:p>
      <w:pPr>
        <w:pStyle w:val="Compact"/>
        <w:numPr>
          <w:ilvl w:val="0"/>
          <w:numId w:val="1002"/>
        </w:numPr>
      </w:pPr>
      <w:r>
        <w:rPr>
          <w:b/>
          <w:bCs/>
        </w:rPr>
        <w:t xml:space="preserve">PSP/Enterprise (Braintree) volume +11%</w:t>
      </w:r>
      <w:r>
        <w:t xml:space="preserve">, with enterprise payments accelerating to mid-teens.</w:t>
      </w:r>
    </w:p>
    <w:p>
      <w:pPr>
        <w:pStyle w:val="Compact"/>
        <w:numPr>
          <w:ilvl w:val="0"/>
          <w:numId w:val="1002"/>
        </w:numPr>
      </w:pPr>
      <w:r>
        <w:rPr>
          <w:b/>
          <w:bCs/>
        </w:rPr>
        <w:t xml:space="preserve">BNPL +23%</w:t>
      </w:r>
      <w:r>
        <w:t xml:space="preserve">, debit/tap-to-pay +60% (off a small base).</w:t>
      </w:r>
    </w:p>
    <w:p>
      <w:pPr>
        <w:pStyle w:val="Compact"/>
        <w:numPr>
          <w:ilvl w:val="0"/>
          <w:numId w:val="1002"/>
        </w:numPr>
      </w:pPr>
      <w:r>
        <w:t xml:space="preserve">Total TPV +11% (8% FXN) to $464B; adjusted FCF of</w:t>
      </w:r>
      <w:r>
        <w:t xml:space="preserve"> </w:t>
      </w:r>
      <m:oMath>
        <m:r>
          <m:t>1.7</m:t>
        </m:r>
        <m:r>
          <m:t>B</m:t>
        </m:r>
        <m:r>
          <m:rPr>
            <m:sty m:val="p"/>
          </m:rPr>
          <m:t>(</m:t>
        </m:r>
        <m:r>
          <m:t>T</m:t>
        </m:r>
        <m:r>
          <m:t>T</m:t>
        </m:r>
        <m:r>
          <m:t>M</m:t>
        </m:r>
        <m:r>
          <m:t> </m:t>
        </m:r>
      </m:oMath>
      <w:r>
        <w:t xml:space="preserve">6.8B).</w:t>
      </w:r>
    </w:p>
    <w:p>
      <w:pPr>
        <w:pStyle w:val="FirstParagraph"/>
      </w:pPr>
      <w:r>
        <w:t xml:space="preserve">The tension for the whole thesis: the profitable, fast-growing pieces (Venmo, PSP) carry lower take rates, while the high-margin core (branded checkout) is barely growing — which is exactly why take rate declined ~4–6bps and transaction margin compressed to 45.6% in Q1.</w:t>
      </w:r>
    </w:p>
    <w:p>
      <w:r>
        <w:pict>
          <v:rect style="width:0;height:1.5pt" o:hralign="center" o:hrstd="t" o:hr="t"/>
        </w:pict>
      </w:r>
    </w:p>
    <w:bookmarkEnd w:id="13"/>
    <w:bookmarkEnd w:id="14"/>
    <w:bookmarkStart w:id="15" w:name="X06d9c18ba0fdd30d7608495c3e536b290d154e8"/>
    <w:p>
      <w:pPr>
        <w:pStyle w:val="Heading2"/>
      </w:pPr>
      <w:r>
        <w:t xml:space="preserve">The standalone story: new CEO, transformation, and $1.5B of cost cuts</w:t>
      </w:r>
    </w:p>
    <w:p>
      <w:pPr>
        <w:pStyle w:val="FirstParagraph"/>
      </w:pPr>
      <w:r>
        <w:t xml:space="preserve">Even without the bid, this is a company in the middle of a leadership and strategy reset:</w:t>
      </w:r>
    </w:p>
    <w:p>
      <w:pPr>
        <w:pStyle w:val="Compact"/>
        <w:numPr>
          <w:ilvl w:val="0"/>
          <w:numId w:val="1003"/>
        </w:numPr>
      </w:pPr>
      <w:r>
        <w:rPr>
          <w:b/>
          <w:bCs/>
        </w:rPr>
        <w:t xml:space="preserve">Enrique Lores</w:t>
      </w:r>
      <w:r>
        <w:t xml:space="preserve"> </w:t>
      </w:r>
      <w:r>
        <w:t xml:space="preserve">stepped in as CEO in March 2026 (from the board), replacing</w:t>
      </w:r>
      <w:r>
        <w:t xml:space="preserve"> </w:t>
      </w:r>
      <w:r>
        <w:rPr>
          <w:b/>
          <w:bCs/>
        </w:rPr>
        <w:t xml:space="preserve">Alex Chriss</w:t>
      </w:r>
      <w:r>
        <w:t xml:space="preserve"> </w:t>
      </w:r>
      <w:r>
        <w:t xml:space="preserve">(Q1 results included CEO exit/severance costs). Lores is running a "become a technology company again" turnaround.</w:t>
      </w:r>
    </w:p>
    <w:p>
      <w:pPr>
        <w:pStyle w:val="Compact"/>
        <w:numPr>
          <w:ilvl w:val="0"/>
          <w:numId w:val="1003"/>
        </w:numPr>
      </w:pPr>
      <w:r>
        <w:rPr>
          <w:b/>
          <w:bCs/>
        </w:rPr>
        <w:t xml:space="preserve">Reorg into three lines of business</w:t>
      </w:r>
      <w:r>
        <w:t xml:space="preserve">, each with a single leader: (1) Checkout Solutions &amp; PayPal, (2) Consumer Financial Services &amp; Venmo, (3) Payment Services &amp; Crypto.</w:t>
      </w:r>
    </w:p>
    <w:p>
      <w:pPr>
        <w:pStyle w:val="Compact"/>
        <w:numPr>
          <w:ilvl w:val="0"/>
          <w:numId w:val="1003"/>
        </w:numPr>
      </w:pPr>
      <w:r>
        <w:t xml:space="preserve">**At least</w:t>
      </w:r>
      <w:r>
        <w:t xml:space="preserve"> </w:t>
      </w:r>
      <m:oMath>
        <m:r>
          <m:t>1.5</m:t>
        </m:r>
        <m:r>
          <m:t>B</m:t>
        </m:r>
        <m:r>
          <m:t>o</m:t>
        </m:r>
        <m:r>
          <m:t>f</m:t>
        </m:r>
        <m:r>
          <m:t>g</m:t>
        </m:r>
        <m:r>
          <m:t>r</m:t>
        </m:r>
        <m:r>
          <m:t>o</m:t>
        </m:r>
        <m:r>
          <m:t>s</m:t>
        </m:r>
        <m:r>
          <m:t>s</m:t>
        </m:r>
        <m:r>
          <m:t>r</m:t>
        </m:r>
        <m:r>
          <m:t>u</m:t>
        </m:r>
        <m:r>
          <m:t>n</m:t>
        </m:r>
        <m:r>
          <m:rPr>
            <m:sty m:val="p"/>
          </m:rPr>
          <m:t>−</m:t>
        </m:r>
        <m:r>
          <m:t>r</m:t>
        </m:r>
        <m:r>
          <m:t>a</m:t>
        </m:r>
        <m:r>
          <m:t>t</m:t>
        </m:r>
        <m:r>
          <m:t>e</m:t>
        </m:r>
        <m:r>
          <m:t>c</m:t>
        </m:r>
        <m:r>
          <m:t>o</m:t>
        </m:r>
        <m:r>
          <m:t>s</m:t>
        </m:r>
        <m:r>
          <m:t>t</m:t>
        </m:r>
        <m:r>
          <m:t>s</m:t>
        </m:r>
        <m:r>
          <m:t>a</m:t>
        </m:r>
        <m:r>
          <m:t>v</m:t>
        </m:r>
        <m:r>
          <m:t>i</m:t>
        </m:r>
        <m:r>
          <m:t>n</m:t>
        </m:r>
        <m:r>
          <m:t>g</m:t>
        </m:r>
        <m:r>
          <m:t>s</m:t>
        </m:r>
        <m:r>
          <m:t>o</m:t>
        </m:r>
        <m:r>
          <m:t>v</m:t>
        </m:r>
        <m:r>
          <m:t>e</m:t>
        </m:r>
        <m:r>
          <m:t>r</m:t>
        </m:r>
        <m:r>
          <m:t>2</m:t>
        </m:r>
        <m:r>
          <m:rPr>
            <m:sty m:val="p"/>
          </m:rPr>
          <m:t>–</m:t>
        </m:r>
        <m:r>
          <m:t>3</m:t>
        </m:r>
        <m:r>
          <m:t>y</m:t>
        </m:r>
        <m:r>
          <m:t>e</m:t>
        </m:r>
        <m:r>
          <m:t>a</m:t>
        </m:r>
        <m:r>
          <m:t>r</m:t>
        </m:r>
        <m:r>
          <m:t>s</m:t>
        </m:r>
        <m:r>
          <m:rPr>
            <m:sty m:val="p"/>
          </m:rPr>
          <m:t>*</m:t>
        </m:r>
        <m:r>
          <m:rPr>
            <m:sty m:val="p"/>
          </m:rPr>
          <m:t>*</m:t>
        </m:r>
        <m:r>
          <m:rPr>
            <m:sty m:val="p"/>
          </m:rPr>
          <m:t>,</m:t>
        </m:r>
        <m:r>
          <m:t>i</m:t>
        </m:r>
        <m:r>
          <m:t>n</m:t>
        </m:r>
        <m:r>
          <m:t>t</m:t>
        </m:r>
        <m:r>
          <m:t>w</m:t>
        </m:r>
        <m:r>
          <m:t>o</m:t>
        </m:r>
        <m:r>
          <m:t>w</m:t>
        </m:r>
        <m:r>
          <m:t>a</m:t>
        </m:r>
        <m:r>
          <m:t>v</m:t>
        </m:r>
        <m:r>
          <m:t>e</m:t>
        </m:r>
        <m:r>
          <m:t>s</m:t>
        </m:r>
        <m:r>
          <m:rPr>
            <m:sty m:val="p"/>
          </m:rPr>
          <m:t>—</m:t>
        </m:r>
        <m:r>
          <m:t>s</m:t>
        </m:r>
        <m:r>
          <m:t>t</m:t>
        </m:r>
        <m:r>
          <m:t>r</m:t>
        </m:r>
        <m:r>
          <m:t>u</m:t>
        </m:r>
        <m:r>
          <m:t>c</m:t>
        </m:r>
        <m:r>
          <m:t>t</m:t>
        </m:r>
        <m:r>
          <m:t>u</m:t>
        </m:r>
        <m:r>
          <m:t>r</m:t>
        </m:r>
        <m:r>
          <m:t>a</m:t>
        </m:r>
        <m:r>
          <m:t>l</m:t>
        </m:r>
        <m:r>
          <m:t>d</m:t>
        </m:r>
        <m:r>
          <m:t>e</m:t>
        </m:r>
        <m:r>
          <m:rPr>
            <m:sty m:val="p"/>
          </m:rPr>
          <m:t>−</m:t>
        </m:r>
        <m:r>
          <m:t>l</m:t>
        </m:r>
        <m:r>
          <m:t>a</m:t>
        </m:r>
        <m:r>
          <m:t>y</m:t>
        </m:r>
        <m:r>
          <m:t>e</m:t>
        </m:r>
        <m:r>
          <m:t>r</m:t>
        </m:r>
        <m:r>
          <m:t>i</m:t>
        </m:r>
        <m:r>
          <m:t>n</m:t>
        </m:r>
        <m:r>
          <m:t>g</m:t>
        </m:r>
        <m:r>
          <m:rPr>
            <m:sty m:val="p"/>
          </m:rPr>
          <m:t>,</m:t>
        </m:r>
        <m:r>
          <m:t>t</m:t>
        </m:r>
        <m:r>
          <m:t>h</m:t>
        </m:r>
        <m:r>
          <m:t>e</m:t>
        </m:r>
        <m:r>
          <m:t>n</m:t>
        </m:r>
        <m:r>
          <m:t>a</m:t>
        </m:r>
        <m:r>
          <m:t>g</m:t>
        </m:r>
        <m:r>
          <m:t>g</m:t>
        </m:r>
        <m:r>
          <m:t>r</m:t>
        </m:r>
        <m:r>
          <m:t>e</m:t>
        </m:r>
        <m:r>
          <m:t>s</m:t>
        </m:r>
        <m:r>
          <m:t>s</m:t>
        </m:r>
        <m:r>
          <m:t>i</m:t>
        </m:r>
        <m:r>
          <m:t>v</m:t>
        </m:r>
        <m:r>
          <m:t>e</m:t>
        </m:r>
        <m:r>
          <m:t>A</m:t>
        </m:r>
        <m:r>
          <m:t>I</m:t>
        </m:r>
        <m:r>
          <m:rPr>
            <m:sty m:val="p"/>
          </m:rPr>
          <m:t>/</m:t>
        </m:r>
        <m:r>
          <m:t>a</m:t>
        </m:r>
        <m:r>
          <m:t>u</m:t>
        </m:r>
        <m:r>
          <m:t>t</m:t>
        </m:r>
        <m:r>
          <m:t>o</m:t>
        </m:r>
        <m:r>
          <m:t>m</m:t>
        </m:r>
        <m:r>
          <m:t>a</m:t>
        </m:r>
        <m:r>
          <m:t>t</m:t>
        </m:r>
        <m:r>
          <m:t>i</m:t>
        </m:r>
        <m:r>
          <m:t>o</m:t>
        </m:r>
        <m:r>
          <m:t>n</m:t>
        </m:r>
        <m:r>
          <m:rPr>
            <m:sty m:val="p"/>
          </m:rPr>
          <m:t>(</m:t>
        </m:r>
        <m:r>
          <m:t>c</m:t>
        </m:r>
        <m:r>
          <m:t>u</m:t>
        </m:r>
        <m:r>
          <m:t>s</m:t>
        </m:r>
        <m:r>
          <m:t>t</m:t>
        </m:r>
        <m:r>
          <m:t>o</m:t>
        </m:r>
        <m:r>
          <m:t>m</m:t>
        </m:r>
        <m:r>
          <m:t>e</m:t>
        </m:r>
        <m:r>
          <m:t>r</m:t>
        </m:r>
        <m:r>
          <m:t>s</m:t>
        </m:r>
        <m:r>
          <m:t>u</m:t>
        </m:r>
        <m:r>
          <m:t>p</m:t>
        </m:r>
        <m:r>
          <m:t>p</m:t>
        </m:r>
        <m:r>
          <m:t>o</m:t>
        </m:r>
        <m:r>
          <m:t>r</m:t>
        </m:r>
        <m:r>
          <m:t>t</m:t>
        </m:r>
        <m:r>
          <m:rPr>
            <m:sty m:val="p"/>
          </m:rPr>
          <m:t>,</m:t>
        </m:r>
        <m:r>
          <m:t> </m:t>
        </m:r>
      </m:oMath>
      <w:r>
        <w:t xml:space="preserve">1.7B line item, and engineering are the biggest targets). A portion is already in the 2026 guide; savings will be partly reinvested for growth.</w:t>
      </w:r>
    </w:p>
    <w:p>
      <w:pPr>
        <w:pStyle w:val="Compact"/>
        <w:numPr>
          <w:ilvl w:val="0"/>
          <w:numId w:val="1003"/>
        </w:numPr>
      </w:pPr>
      <w:r>
        <w:t xml:space="preserve">Lores has explicitly said his review concluded PayPal should</w:t>
      </w:r>
      <w:r>
        <w:t xml:space="preserve"> </w:t>
      </w:r>
      <w:r>
        <w:rPr>
          <w:b/>
          <w:bCs/>
        </w:rPr>
        <w:t xml:space="preserve">keep and grow all three core assets (PayPal, Venmo, Braintree)</w:t>
      </w:r>
      <w:r>
        <w:t xml:space="preserve"> </w:t>
      </w:r>
      <w:r>
        <w:t xml:space="preserve">rather than divest, citing cross-sell, tech, and risk-management synergies — a notable stance given the M&amp;A backdrop.</w:t>
      </w:r>
    </w:p>
    <w:p>
      <w:pPr>
        <w:pStyle w:val="Compact"/>
        <w:numPr>
          <w:ilvl w:val="0"/>
          <w:numId w:val="1003"/>
        </w:numPr>
      </w:pPr>
      <w:r>
        <w:t xml:space="preserve">Segment-level reporting is promised</w:t>
      </w:r>
      <w:r>
        <w:t xml:space="preserve"> </w:t>
      </w:r>
      <w:r>
        <w:rPr>
          <w:b/>
          <w:bCs/>
        </w:rPr>
        <w:t xml:space="preserve">sometime next year</w:t>
      </w:r>
      <w:r>
        <w:t xml:space="preserve">, so KPIs for the new structure won't be fully visible this quarter.</w:t>
      </w:r>
    </w:p>
    <w:p>
      <w:pPr>
        <w:pStyle w:val="FirstParagraph"/>
      </w:pPr>
      <w:r>
        <w:rPr>
          <w:b/>
          <w:bCs/>
        </w:rPr>
        <w:t xml:space="preserve">Full-year 2026 guide (reiterated in May):</w:t>
      </w:r>
      <w:r>
        <w:t xml:space="preserve"> </w:t>
      </w:r>
      <w:r>
        <w:t xml:space="preserve">TM$ ex-interest roughly flat to slightly down; non-transaction OpEx ~+3%; non-GAAP EPS from down low-single-digit to slightly positive (vs. FY25</w:t>
      </w:r>
      <w:r>
        <w:t xml:space="preserve"> </w:t>
      </w:r>
      <m:oMath>
        <m:r>
          <m:t>5.31</m:t>
        </m:r>
        <m:r>
          <m:rPr>
            <m:sty m:val="p"/>
          </m:rPr>
          <m:t>)</m:t>
        </m:r>
        <m:r>
          <m:rPr>
            <m:sty m:val="p"/>
          </m:rPr>
          <m:t>;</m:t>
        </m:r>
        <m:r>
          <m:t> </m:t>
        </m:r>
      </m:oMath>
      <w:r>
        <w:t xml:space="preserve">6B buyback; ≥$6B adjusted FCF.</w:t>
      </w:r>
      <w:r>
        <w:t xml:space="preserve"> </w:t>
      </w:r>
      <w:r>
        <w:rPr>
          <w:b/>
          <w:bCs/>
        </w:rPr>
        <w:t xml:space="preserve">Watch whether FY guidance is reaffirmed, raised, or trimmed</w:t>
      </w:r>
      <w:r>
        <w:t xml:space="preserve"> </w:t>
      </w:r>
      <w:r>
        <w:t xml:space="preserve">— a cut here, on top of a soft Q2 and an "inadequate" bid, would be the bear case fully realized.</w:t>
      </w:r>
    </w:p>
    <w:p>
      <w:r>
        <w:pict>
          <v:rect style="width:0;height:1.5pt" o:hralign="center" o:hrstd="t" o:hr="t"/>
        </w:pict>
      </w:r>
    </w:p>
    <w:bookmarkEnd w:id="15"/>
    <w:bookmarkStart w:id="16" w:name="what-to-watch-on-the-call"/>
    <w:p>
      <w:pPr>
        <w:pStyle w:val="Heading2"/>
      </w:pPr>
      <w:r>
        <w:t xml:space="preserve">What to watch on the call</w:t>
      </w:r>
    </w:p>
    <w:p>
      <w:pPr>
        <w:pStyle w:val="Compact"/>
        <w:numPr>
          <w:ilvl w:val="0"/>
          <w:numId w:val="1004"/>
        </w:numPr>
      </w:pPr>
      <w:r>
        <w:rPr>
          <w:b/>
          <w:bCs/>
        </w:rPr>
        <w:t xml:space="preserve">Any M&amp;A commentary or a formal board response.</w:t>
      </w:r>
      <w:r>
        <w:t xml:space="preserve"> </w:t>
      </w:r>
      <w:r>
        <w:t xml:space="preserve">Most likely management stays disciplined and declines to engage, but any language on "maximizing shareholder value," strategic review, or a poison-pill/defense posture will move the stock more than EPS.</w:t>
      </w:r>
    </w:p>
    <w:p>
      <w:pPr>
        <w:pStyle w:val="Compact"/>
        <w:numPr>
          <w:ilvl w:val="0"/>
          <w:numId w:val="1004"/>
        </w:numPr>
      </w:pPr>
      <w:r>
        <w:rPr>
          <w:b/>
          <w:bCs/>
        </w:rPr>
        <w:t xml:space="preserve">Branded checkout TPV</w:t>
      </w:r>
      <w:r>
        <w:t xml:space="preserve"> </w:t>
      </w:r>
      <w:r>
        <w:t xml:space="preserve">— did it hold ~2% or deteriorate? This is the single most important fundamental data point.</w:t>
      </w:r>
    </w:p>
    <w:p>
      <w:pPr>
        <w:pStyle w:val="Compact"/>
        <w:numPr>
          <w:ilvl w:val="0"/>
          <w:numId w:val="1004"/>
        </w:numPr>
      </w:pPr>
      <w:r>
        <w:rPr>
          <w:b/>
          <w:bCs/>
        </w:rPr>
        <w:t xml:space="preserve">FY26 guidance</w:t>
      </w:r>
      <w:r>
        <w:t xml:space="preserve"> </w:t>
      </w:r>
      <w:r>
        <w:t xml:space="preserve">— reiterated vs. revised. The Q2 print is already de-risked; the second half is where the "reacceleration" thesis lives.</w:t>
      </w:r>
    </w:p>
    <w:p>
      <w:pPr>
        <w:pStyle w:val="Compact"/>
        <w:numPr>
          <w:ilvl w:val="0"/>
          <w:numId w:val="1004"/>
        </w:numPr>
      </w:pPr>
      <w:r>
        <w:rPr>
          <w:b/>
          <w:bCs/>
        </w:rPr>
        <w:t xml:space="preserve">Cost program specifics</w:t>
      </w:r>
      <w:r>
        <w:t xml:space="preserve"> </w:t>
      </w:r>
      <w:r>
        <w:t xml:space="preserve">— Lores promised more detail on the cadence of the $1.5B savings "in the coming months." Concrete numbers would help the standalone valuation case.</w:t>
      </w:r>
    </w:p>
    <w:p>
      <w:pPr>
        <w:pStyle w:val="Compact"/>
        <w:numPr>
          <w:ilvl w:val="0"/>
          <w:numId w:val="1004"/>
        </w:numPr>
      </w:pPr>
      <w:r>
        <w:rPr>
          <w:b/>
          <w:bCs/>
        </w:rPr>
        <w:t xml:space="preserve">Europe / travel trends</w:t>
      </w:r>
      <w:r>
        <w:t xml:space="preserve"> </w:t>
      </w:r>
      <w:r>
        <w:t xml:space="preserve">and consumer health (management flagged pressure on middle-income cohorts and higher fuel prices).</w:t>
      </w:r>
    </w:p>
    <w:p>
      <w:pPr>
        <w:pStyle w:val="Compact"/>
        <w:numPr>
          <w:ilvl w:val="0"/>
          <w:numId w:val="1004"/>
        </w:numPr>
      </w:pPr>
      <w:r>
        <w:rPr>
          <w:b/>
          <w:bCs/>
        </w:rPr>
        <w:t xml:space="preserve">Capital return</w:t>
      </w:r>
      <w:r>
        <w:t xml:space="preserve"> </w:t>
      </w:r>
      <w:r>
        <w:t xml:space="preserve">— with a bid outstanding, watch whether the ~$6B buyback pace continues (it can double as a defense mechanism / signal of undervaluation). Q1 repurchased $1.5B (~34M shares).</w:t>
      </w:r>
    </w:p>
    <w:p>
      <w:r>
        <w:pict>
          <v:rect style="width:0;height:1.5pt" o:hralign="center" o:hrstd="t" o:hr="t"/>
        </w:pict>
      </w:r>
    </w:p>
    <w:bookmarkEnd w:id="16"/>
    <w:bookmarkStart w:id="17" w:name="bottom-line"/>
    <w:p>
      <w:pPr>
        <w:pStyle w:val="Heading2"/>
      </w:pPr>
      <w:r>
        <w:t xml:space="preserve">Bottom line</w:t>
      </w:r>
    </w:p>
    <w:p>
      <w:pPr>
        <w:pStyle w:val="FirstParagraph"/>
      </w:pPr>
      <w:r>
        <w:t xml:space="preserve">Going into tomorrow, PYPL is priced as a</w:t>
      </w:r>
      <w:r>
        <w:t xml:space="preserve"> </w:t>
      </w:r>
      <w:r>
        <w:rPr>
          <w:b/>
          <w:bCs/>
        </w:rPr>
        <w:t xml:space="preserve">special situation, not a growth stock</w:t>
      </w:r>
      <w:r>
        <w:t xml:space="preserve">. Management has already told you the quarter will look soft — a ~9% non-GAAP EPS decline against the year's hardest comp — so a modest miss or beat on EPS is unlikely to be the story. The real drivers are: (a)</w:t>
      </w:r>
      <w:r>
        <w:t xml:space="preserve"> </w:t>
      </w:r>
      <w:r>
        <w:rPr>
          <w:b/>
          <w:bCs/>
        </w:rPr>
        <w:t xml:space="preserve">whether branded checkout is stabilizing or still slipping</w:t>
      </w:r>
      <w:r>
        <w:t xml:space="preserve">, (b)</w:t>
      </w:r>
      <w:r>
        <w:t xml:space="preserve"> </w:t>
      </w:r>
      <w:r>
        <w:rPr>
          <w:b/>
          <w:bCs/>
        </w:rPr>
        <w:t xml:space="preserve">whether full-year guidance holds</w:t>
      </w:r>
      <w:r>
        <w:t xml:space="preserve">, and (c)</w:t>
      </w:r>
      <w:r>
        <w:t xml:space="preserve"> </w:t>
      </w:r>
      <w:r>
        <w:rPr>
          <w:b/>
          <w:bCs/>
        </w:rPr>
        <w:t xml:space="preserve">anything management or the board signals about the Stripe/Advent approach.</w:t>
      </w:r>
    </w:p>
    <w:p>
      <w:pPr>
        <w:pStyle w:val="BodyText"/>
      </w:pPr>
      <w:r>
        <w:t xml:space="preserve">The risk/reward is now bimodal. With shares at ~$56 versus a</w:t>
      </w:r>
      <w:r>
        <w:t xml:space="preserve"> </w:t>
      </w:r>
      <m:oMath>
        <m:r>
          <m:t>60.50</m:t>
        </m:r>
        <m:r>
          <m:t>b</m:t>
        </m:r>
        <m:r>
          <m:t>i</m:t>
        </m:r>
        <m:r>
          <m:t>d</m:t>
        </m:r>
        <m:r>
          <m:t>t</m:t>
        </m:r>
        <m:r>
          <m:t>h</m:t>
        </m:r>
        <m:r>
          <m:t>e</m:t>
        </m:r>
        <m:r>
          <m:t>b</m:t>
        </m:r>
        <m:r>
          <m:t>o</m:t>
        </m:r>
        <m:r>
          <m:t>a</m:t>
        </m:r>
        <m:r>
          <m:t>r</m:t>
        </m:r>
        <m:r>
          <m:t>d</m:t>
        </m:r>
        <m:r>
          <m:t>c</m:t>
        </m:r>
        <m:r>
          <m:t>a</m:t>
        </m:r>
        <m:r>
          <m:t>l</m:t>
        </m:r>
        <m:r>
          <m:t>l</m:t>
        </m:r>
        <m:r>
          <m:t>s</m:t>
        </m:r>
        <m:r>
          <m:t>i</m:t>
        </m:r>
        <m:r>
          <m:t>n</m:t>
        </m:r>
        <m:r>
          <m:t>a</m:t>
        </m:r>
        <m:r>
          <m:t>d</m:t>
        </m:r>
        <m:r>
          <m:t>e</m:t>
        </m:r>
        <m:r>
          <m:t>q</m:t>
        </m:r>
        <m:r>
          <m:t>u</m:t>
        </m:r>
        <m:r>
          <m:t>a</m:t>
        </m:r>
        <m:r>
          <m:t>t</m:t>
        </m:r>
        <m:r>
          <m:t>e</m:t>
        </m:r>
        <m:r>
          <m:rPr>
            <m:sty m:val="p"/>
          </m:rPr>
          <m:t>,</m:t>
        </m:r>
        <m:r>
          <m:t>t</m:t>
        </m:r>
        <m:r>
          <m:t>h</m:t>
        </m:r>
        <m:r>
          <m:t>e</m:t>
        </m:r>
        <m:r>
          <m:t>d</m:t>
        </m:r>
        <m:r>
          <m:t>o</m:t>
        </m:r>
        <m:r>
          <m:t>w</m:t>
        </m:r>
        <m:r>
          <m:t>n</m:t>
        </m:r>
        <m:r>
          <m:t>s</m:t>
        </m:r>
        <m:r>
          <m:t>i</m:t>
        </m:r>
        <m:r>
          <m:t>d</m:t>
        </m:r>
        <m:r>
          <m:t>e</m:t>
        </m:r>
        <m:r>
          <m:t>c</m:t>
        </m:r>
        <m:r>
          <m:t>a</m:t>
        </m:r>
        <m:r>
          <m:t>s</m:t>
        </m:r>
        <m:r>
          <m:t>e</m:t>
        </m:r>
        <m:r>
          <m:t>i</m:t>
        </m:r>
        <m:r>
          <m:t>s</m:t>
        </m:r>
        <m:r>
          <m:t>a</m:t>
        </m:r>
        <m:r>
          <m:t>d</m:t>
        </m:r>
        <m:r>
          <m:t>e</m:t>
        </m:r>
        <m:r>
          <m:t>a</m:t>
        </m:r>
        <m:r>
          <m:t>l</m:t>
        </m:r>
        <m:r>
          <m:t>t</m:t>
        </m:r>
        <m:r>
          <m:t>h</m:t>
        </m:r>
        <m:r>
          <m:t>a</m:t>
        </m:r>
        <m:r>
          <m:t>t</m:t>
        </m:r>
        <m:r>
          <m:t>c</m:t>
        </m:r>
        <m:r>
          <m:t>o</m:t>
        </m:r>
        <m:r>
          <m:t>l</m:t>
        </m:r>
        <m:r>
          <m:t>l</m:t>
        </m:r>
        <m:r>
          <m:t>a</m:t>
        </m:r>
        <m:r>
          <m:t>p</m:t>
        </m:r>
        <m:r>
          <m:t>s</m:t>
        </m:r>
        <m:r>
          <m:t>e</m:t>
        </m:r>
        <m:r>
          <m:t>s</m:t>
        </m:r>
        <m:r>
          <m:t>a</m:t>
        </m:r>
        <m:r>
          <m:t>n</m:t>
        </m:r>
        <m:r>
          <m:t>d</m:t>
        </m:r>
        <m:r>
          <m:t>t</m:t>
        </m:r>
        <m:r>
          <m:t>h</m:t>
        </m:r>
        <m:r>
          <m:t>e</m:t>
        </m:r>
        <m:r>
          <m:t>s</m:t>
        </m:r>
        <m:r>
          <m:t>t</m:t>
        </m:r>
        <m:r>
          <m:t>o</m:t>
        </m:r>
        <m:r>
          <m:t>c</m:t>
        </m:r>
        <m:r>
          <m:t>k</m:t>
        </m:r>
        <m:r>
          <m:t>r</m:t>
        </m:r>
        <m:r>
          <m:t>e</m:t>
        </m:r>
        <m:r>
          <m:rPr>
            <m:sty m:val="p"/>
          </m:rPr>
          <m:t>−</m:t>
        </m:r>
        <m:r>
          <m:t>r</m:t>
        </m:r>
        <m:r>
          <m:t>a</m:t>
        </m:r>
        <m:r>
          <m:t>t</m:t>
        </m:r>
        <m:r>
          <m:t>e</m:t>
        </m:r>
        <m:r>
          <m:t>s</m:t>
        </m:r>
        <m:r>
          <m:t>b</m:t>
        </m:r>
        <m:r>
          <m:t>a</m:t>
        </m:r>
        <m:r>
          <m:t>c</m:t>
        </m:r>
        <m:r>
          <m:t>k</m:t>
        </m:r>
        <m:r>
          <m:t>t</m:t>
        </m:r>
        <m:r>
          <m:t>o</m:t>
        </m:r>
        <m:r>
          <m:t>w</m:t>
        </m:r>
        <m:r>
          <m:t>a</m:t>
        </m:r>
        <m:r>
          <m:t>r</m:t>
        </m:r>
        <m:r>
          <m:t>d</m:t>
        </m:r>
        <m:r>
          <m:t>t</m:t>
        </m:r>
        <m:r>
          <m:t>h</m:t>
        </m:r>
        <m:r>
          <m:t>e</m:t>
        </m:r>
        <m:r>
          <m:t>m</m:t>
        </m:r>
        <m:r>
          <m:t>i</m:t>
        </m:r>
        <m:r>
          <m:t>d</m:t>
        </m:r>
        <m:r>
          <m:rPr>
            <m:sty m:val="p"/>
          </m:rPr>
          <m:t>−</m:t>
        </m:r>
      </m:oMath>
      <w:r>
        <w:t xml:space="preserve">40s pre-bid level on weak fundamentals; the upside case is a higher/successful bid or a credible standalone turnaround (cost cuts + checkout reacceleration) that justifies a valuation at or above the offer. A clean quarter with reaffirmed guidance arguably helps the board argue "$60.50 is too low" — which, ironically, is what most current shareholders are rooting for.</w:t>
      </w:r>
    </w:p>
    <w:p>
      <w:pPr>
        <w:pStyle w:val="BodyText"/>
      </w:pPr>
      <w:r>
        <w:rPr>
          <w:i/>
          <w:iCs/>
        </w:rPr>
        <w:t xml:space="preserve">Note: Figures above are drawn from PayPal's Q1 2026 release/call and public news reports on the takeover approach; consensus estimates for the quarter were not available in the sources reviewed, so "expectations" here are anchored to the company's own Q2 and FY2026 guidance.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2026-07-28T00:03:38Z</dcterms:created>
  <dcterms:modified xsi:type="dcterms:W3CDTF">2026-07-28T00:03:38Z</dcterms:modified>
</cp:coreProperties>
</file>

<file path=docProps/custom.xml><?xml version="1.0" encoding="utf-8"?>
<Properties xmlns="http://schemas.openxmlformats.org/officeDocument/2006/custom-properties" xmlns:vt="http://schemas.openxmlformats.org/officeDocument/2006/docPropsVTypes"/>
</file>