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material. Let me also check the Alphastreet preview article more fully for stock positioning and valuation context, and the techtimes article for the takeover rejection details.Now let me check the takeover rejection article for a bit more detail and any options-market implied move context.# PayPal Holdings (PYPL) — Q2 2026 Earnings Preview</w:t>
      </w:r>
      <w:r>
        <w:t xml:space="preserve"> </w:t>
      </w:r>
      <w:r>
        <w:rPr>
          <w:b/>
          <w:bCs/>
        </w:rPr>
        <w:t xml:space="preserve">Report Date:</w:t>
      </w:r>
      <w:r>
        <w:t xml:space="preserve"> </w:t>
      </w:r>
      <w:r>
        <w:t xml:space="preserve">Tuesday, July 28, 2026 (before market open) |</w:t>
      </w:r>
      <w:r>
        <w:t xml:space="preserve"> </w:t>
      </w:r>
      <w:r>
        <w:rPr>
          <w:b/>
          <w:bCs/>
        </w:rPr>
        <w:t xml:space="preserve">Call:</w:t>
      </w:r>
      <w:r>
        <w:t xml:space="preserve"> </w:t>
      </w:r>
      <w:r>
        <w:t xml:space="preserve">8:00 a.m. ET</w:t>
      </w:r>
    </w:p>
    <w:p>
      <w:r>
        <w:pict>
          <v:rect style="width:0;height:1.5pt" o:hralign="center" o:hrstd="t" o:hr="t"/>
        </w:pict>
      </w:r>
    </w:p>
    <w:bookmarkStart w:id="9" w:name="X7d66987472cd4168de18a27bf18ffbccd5b4342"/>
    <w:p>
      <w:pPr>
        <w:pStyle w:val="Heading2"/>
      </w:pPr>
      <w:r>
        <w:t xml:space="preserve">The Elephant in the Room: This Is No Longer a Normal Earnings Print</w:t>
      </w:r>
    </w:p>
    <w:p>
      <w:pPr>
        <w:pStyle w:val="FirstParagraph"/>
      </w:pPr>
      <w:r>
        <w:t xml:space="preserve">Under ordinary circumstances, a PayPal earnings report would be judged purely on transaction margin dollars and checkout trends. Not this quarter. On July 15, 2026, news broke that Stripe and private equity firm Advent International made a joint offer to acquire PayPal Holdings Inc for $60.50 per share, valuing the payments company at more than $53 billion, an offer representing around a 28% premium to PayPal's closing share price at the time and backed by about $50 billion in committed financing from banks. Under the proposal, Stripe and Advent would jointly own PayPal, with each holding an equal stake rather than breaking the company up.</w:t>
      </w:r>
    </w:p>
    <w:p>
      <w:pPr>
        <w:pStyle w:val="BodyText"/>
      </w:pPr>
      <w:r>
        <w:t xml:space="preserve">The stock exploded higher on the news — jumping from the mid-</w:t>
      </w:r>
      <m:oMath>
        <m:r>
          <m:t>40</m:t>
        </m:r>
        <m:r>
          <m:t>s</m:t>
        </m:r>
        <m:r>
          <m:t>t</m:t>
        </m:r>
        <m:r>
          <m:t>o</m:t>
        </m:r>
        <m:r>
          <m:t>t</m:t>
        </m:r>
        <m:r>
          <m:t>h</m:t>
        </m:r>
        <m:r>
          <m:t>e</m:t>
        </m:r>
        <m:r>
          <m:t>m</m:t>
        </m:r>
        <m:r>
          <m:t>i</m:t>
        </m:r>
        <m:r>
          <m:t>d</m:t>
        </m:r>
        <m:r>
          <m:rPr>
            <m:sty m:val="p"/>
          </m:rPr>
          <m:t>−</m:t>
        </m:r>
      </m:oMath>
      <w:r>
        <w:t xml:space="preserve">50s in a matter of days — but the story didn't end there. On July 16–17, reporting indicated PayPal's board believes the Advent/Stripe bid undervalues the company and faces regulatory and financing obstacles. That view hardened on July 20, when the board formally rejected the offer. According to reporting, the board is "pushing for a price closer to</w:t>
      </w:r>
      <w:r>
        <w:t xml:space="preserve"> </w:t>
      </w:r>
      <w:r>
        <w:t xml:space="preserve">$70 a share," has turned the situation into a negotiation rather than a walk-away, and has retained Goldman Sachs and Evercore to evaluate strategic alternatives. Outside estimates of fair value cited in press coverage range roughly from the low-$</w:t>
      </w:r>
      <w:r>
        <w:t xml:space="preserve">60s to $70+ per share.</w:t>
      </w:r>
    </w:p>
    <w:p>
      <w:pPr>
        <w:pStyle w:val="BodyText"/>
      </w:pPr>
      <w:r>
        <w:rPr>
          <w:b/>
          <w:bCs/>
        </w:rPr>
        <w:t xml:space="preserve">Why this matters for tomorrow's print:</w:t>
      </w:r>
      <w:r>
        <w:t xml:space="preserve"> </w:t>
      </w:r>
      <w:r>
        <w:t xml:space="preserve">the board's negotiating leverage is directly tied to what PayPal reports. A quarter that confirms the nascent turnaround (accelerating branded checkout, durable Venmo/PSP growth, credible cost-cut execution) strengthens management's case that $60.50 is too cheap. A soft or disappointing quarter would undercut that argument and could pressure the board toward accepting a bid closer to the current offer — or inviting a lower one. Investors should expect the Q&amp;A to include as many questions about strategic alternatives as about the numbers themselves.</w:t>
      </w:r>
    </w:p>
    <w:p>
      <w:r>
        <w:pict>
          <v:rect style="width:0;height:1.5pt" o:hralign="center" o:hrstd="t" o:hr="t"/>
        </w:pict>
      </w:r>
    </w:p>
    <w:bookmarkEnd w:id="9"/>
    <w:bookmarkStart w:id="10" w:name="Xf95b838b799c61de93f0a37d3b13c8a292f41bd"/>
    <w:p>
      <w:pPr>
        <w:pStyle w:val="Heading2"/>
      </w:pPr>
      <w:r>
        <w:t xml:space="preserve">Setting the Stage: A Company Mid-Transformation</w:t>
      </w:r>
    </w:p>
    <w:p>
      <w:pPr>
        <w:pStyle w:val="FirstParagraph"/>
      </w:pPr>
      <w:r>
        <w:t xml:space="preserve">Context matters here. New CEO</w:t>
      </w:r>
      <w:r>
        <w:t xml:space="preserve"> </w:t>
      </w:r>
      <w:r>
        <w:rPr>
          <w:b/>
          <w:bCs/>
        </w:rPr>
        <w:t xml:space="preserve">Enrique Lores</w:t>
      </w:r>
      <w:r>
        <w:t xml:space="preserve"> </w:t>
      </w:r>
      <w:r>
        <w:t xml:space="preserve">(a former board member) took over in March 2026 following a disappointing FY26 profit outlook issued at the start of the year. On the Q1 2026 call, Lores laid out a sweeping reorganization:</w:t>
      </w:r>
    </w:p>
    <w:p>
      <w:pPr>
        <w:pStyle w:val="Compact"/>
        <w:numPr>
          <w:ilvl w:val="0"/>
          <w:numId w:val="1001"/>
        </w:numPr>
      </w:pPr>
      <w:r>
        <w:rPr>
          <w:b/>
          <w:bCs/>
        </w:rPr>
        <w:t xml:space="preserve">Three new lines of business</w:t>
      </w:r>
      <w:r>
        <w:t xml:space="preserve"> </w:t>
      </w:r>
      <w:r>
        <w:t xml:space="preserve">replacing the prior customer-segment structure: Checkout Solutions &amp; PayPal, Consumer Financial Services &amp; Venmo, and Payment Services &amp; Crypto (Braintree).</w:t>
      </w:r>
    </w:p>
    <w:p>
      <w:pPr>
        <w:pStyle w:val="Compact"/>
        <w:numPr>
          <w:ilvl w:val="0"/>
          <w:numId w:val="1001"/>
        </w:numPr>
      </w:pPr>
      <w:r>
        <w:rPr>
          <w:b/>
          <w:bCs/>
        </w:rPr>
        <w:t xml:space="preserve">At least $1.5 billion in gross run-rate cost savings</w:t>
      </w:r>
      <w:r>
        <w:t xml:space="preserve"> </w:t>
      </w:r>
      <w:r>
        <w:t xml:space="preserve">targeted over the next 2–3 years, coming from organizational delayering and aggressive AI/automation deployment, with savings partly reinvested in growth and partly flowing to margins.</w:t>
      </w:r>
    </w:p>
    <w:p>
      <w:pPr>
        <w:pStyle w:val="Compact"/>
        <w:numPr>
          <w:ilvl w:val="0"/>
          <w:numId w:val="1001"/>
        </w:numPr>
      </w:pPr>
      <w:r>
        <w:t xml:space="preserve">A stated need to</w:t>
      </w:r>
      <w:r>
        <w:t xml:space="preserve"> </w:t>
      </w:r>
      <w:r>
        <w:rPr>
          <w:b/>
          <w:bCs/>
        </w:rPr>
        <w:t xml:space="preserve">rebalance investment toward the consumer side</w:t>
      </w:r>
      <w:r>
        <w:t xml:space="preserve"> </w:t>
      </w:r>
      <w:r>
        <w:t xml:space="preserve">of PayPal's two-sided network after several years of merchant-heavy focus, plus renewed emphasis on modernizing a technology stack the company acknowledges has suffered from "years of underinvestment."</w:t>
      </w:r>
    </w:p>
    <w:p>
      <w:pPr>
        <w:pStyle w:val="FirstParagraph"/>
      </w:pPr>
      <w:r>
        <w:t xml:space="preserve">Management was explicit that Q2 would be the toughest comp of the year and that near-term optics would look worse before they look better — which is the backdrop against which tomorrow's results need to be read.</w:t>
      </w:r>
    </w:p>
    <w:p>
      <w:r>
        <w:pict>
          <v:rect style="width:0;height:1.5pt" o:hralign="center" o:hrstd="t" o:hr="t"/>
        </w:pict>
      </w:r>
    </w:p>
    <w:bookmarkEnd w:id="10"/>
    <w:bookmarkStart w:id="11" w:name="Xf3dd107b43c16eac343e2adb23ea18ad6c3f206"/>
    <w:p>
      <w:pPr>
        <w:pStyle w:val="Heading2"/>
      </w:pPr>
      <w:r>
        <w:t xml:space="preserve">Q1 2026 Recap (the last data point before tomorrow)</w:t>
      </w:r>
    </w:p>
    <w:p>
      <w:pPr>
        <w:pStyle w:val="FirstParagraph"/>
      </w:pPr>
      <w:r>
        <w:t xml:space="preserve">Reported May 5, 2026:</w:t>
      </w:r>
    </w:p>
    <w:p>
      <w:pPr>
        <w:pStyle w:val="Compact"/>
        <w:numPr>
          <w:ilvl w:val="0"/>
          <w:numId w:val="1002"/>
        </w:numPr>
      </w:pPr>
      <w:r>
        <w:t xml:space="preserve">Total Payment Volume of $464 billion,</w:t>
      </w:r>
      <w:r>
        <w:t xml:space="preserve"> </w:t>
      </w:r>
      <w:r>
        <w:rPr>
          <w:b/>
          <w:bCs/>
        </w:rPr>
        <w:t xml:space="preserve">+11% spot / +8% currency-neutral</w:t>
      </w:r>
      <w:r>
        <w:t xml:space="preserve">, with branded checkout TPV growth improving to +2% (from +1% in Q4), Venmo TPV +14% (sixth straight quarter of double-digit growth), and PSP/Enterprise volume accelerating to the mid-teens.</w:t>
      </w:r>
    </w:p>
    <w:p>
      <w:pPr>
        <w:pStyle w:val="Compact"/>
        <w:numPr>
          <w:ilvl w:val="0"/>
          <w:numId w:val="1002"/>
        </w:numPr>
      </w:pPr>
      <w:r>
        <w:t xml:space="preserve">Transaction margin (TM) dollars ex-interest on customer balances</w:t>
      </w:r>
      <w:r>
        <w:t xml:space="preserve"> </w:t>
      </w:r>
      <w:r>
        <w:rPr>
          <w:b/>
          <w:bCs/>
        </w:rPr>
        <w:t xml:space="preserve">+3%</w:t>
      </w:r>
      <w:r>
        <w:t xml:space="preserve">, non-GAAP EPS</w:t>
      </w:r>
      <w:r>
        <w:t xml:space="preserve"> </w:t>
      </w:r>
      <w:r>
        <w:rPr>
          <w:b/>
          <w:bCs/>
        </w:rPr>
        <w:t xml:space="preserve">+1% to $1.34</w:t>
      </w:r>
      <w:r>
        <w:t xml:space="preserve"> </w:t>
      </w:r>
      <w:r>
        <w:t xml:space="preserve">(ahead of guidance), and adjusted free cash flow of</w:t>
      </w:r>
      <w:r>
        <w:t xml:space="preserve"> </w:t>
      </w:r>
      <m:oMath>
        <m:r>
          <m:t>1.7</m:t>
        </m:r>
        <m:r>
          <m:t>b</m:t>
        </m:r>
        <m:r>
          <m:t>i</m:t>
        </m:r>
        <m:r>
          <m:t>l</m:t>
        </m:r>
        <m:r>
          <m:t>l</m:t>
        </m:r>
        <m:r>
          <m:t>i</m:t>
        </m:r>
        <m:r>
          <m:t>o</m:t>
        </m:r>
        <m:r>
          <m:t>n</m:t>
        </m:r>
        <m:r>
          <m:rPr>
            <m:sty m:val="p"/>
          </m:rPr>
          <m:t>(</m:t>
        </m:r>
      </m:oMath>
      <w:r>
        <w:t xml:space="preserve">6.8B trailing-12-month).</w:t>
      </w:r>
    </w:p>
    <w:p>
      <w:pPr>
        <w:pStyle w:val="Compact"/>
        <w:numPr>
          <w:ilvl w:val="0"/>
          <w:numId w:val="1002"/>
        </w:numPr>
      </w:pPr>
      <w:r>
        <w:t xml:space="preserve">Management reiterated full-year 2026 guidance but explicitly flagged that</w:t>
      </w:r>
      <w:r>
        <w:t xml:space="preserve"> </w:t>
      </w:r>
      <w:r>
        <w:rPr>
          <w:b/>
          <w:bCs/>
        </w:rPr>
        <w:t xml:space="preserve">Q2 would show "more pressure on a year-over-year basis"</w:t>
      </w:r>
      <w:r>
        <w:t xml:space="preserve"> </w:t>
      </w:r>
      <w:r>
        <w:t xml:space="preserve">due to the non-recurrence of a prior-year payment-partner benefit, tougher credit comps, and the timing of cost-saving realization versus reinvestment.</w:t>
      </w:r>
    </w:p>
    <w:p>
      <w:pPr>
        <w:pStyle w:val="FirstParagraph"/>
      </w:pPr>
      <w:r>
        <w:rPr>
          <w:b/>
          <w:bCs/>
        </w:rPr>
        <w:t xml:space="preserve">Company's own Q2 guidance (given in May):</w:t>
      </w:r>
      <w:r>
        <w:t xml:space="preserve"> </w:t>
      </w:r>
      <w:r>
        <w:t xml:space="preserve">low-single-digit currency-neutral revenue growth; TM dollars down ~3% (ex-interest, down ~2%); non-transaction opex up mid-single digits; and</w:t>
      </w:r>
      <w:r>
        <w:t xml:space="preserve"> </w:t>
      </w:r>
      <w:r>
        <w:rPr>
          <w:b/>
          <w:bCs/>
        </w:rPr>
        <w:t xml:space="preserve">non-GAAP EPS down ~9%</w:t>
      </w:r>
      <w:r>
        <w:t xml:space="preserve"> </w:t>
      </w:r>
      <w:r>
        <w:t xml:space="preserve">year-over-year. This directly implies EPS around</w:t>
      </w:r>
      <w:r>
        <w:t xml:space="preserve"> </w:t>
      </w:r>
      <m:oMath>
        <m:r>
          <m:t>1.27</m:t>
        </m:r>
        <m:r>
          <m:rPr>
            <m:sty m:val="p"/>
          </m:rPr>
          <m:t>–</m:t>
        </m:r>
      </m:oMath>
      <w:r>
        <w:t xml:space="preserve">1.28 — which is exactly where the Street has landed.</w:t>
      </w:r>
    </w:p>
    <w:p>
      <w:r>
        <w:pict>
          <v:rect style="width:0;height:1.5pt" o:hralign="center" o:hrstd="t" o:hr="t"/>
        </w:pict>
      </w:r>
    </w:p>
    <w:bookmarkEnd w:id="11"/>
    <w:bookmarkStart w:id="12" w:name="wall-street-expectations-for-q2-2026"/>
    <w:p>
      <w:pPr>
        <w:pStyle w:val="Heading2"/>
      </w:pPr>
      <w:r>
        <w:t xml:space="preserve">Wall Street Expectations for Q2 2026</w:t>
      </w:r>
    </w:p>
    <w:p>
      <w:pPr>
        <w:pStyle w:val="Compact"/>
        <w:numPr>
          <w:ilvl w:val="0"/>
          <w:numId w:val="1003"/>
        </w:numPr>
      </w:pPr>
      <w:r>
        <w:rPr>
          <w:b/>
          <w:bCs/>
        </w:rPr>
        <w:t xml:space="preserve">Consensus EPS: ~$1.28</w:t>
      </w:r>
      <w:r>
        <w:t xml:space="preserve"> </w:t>
      </w:r>
      <w:r>
        <w:t xml:space="preserve">(range</w:t>
      </w:r>
      <w:r>
        <w:t xml:space="preserve"> </w:t>
      </w:r>
      <m:oMath>
        <m:r>
          <m:t>1.25</m:t>
        </m:r>
        <m:r>
          <m:rPr>
            <m:sty m:val="p"/>
          </m:rPr>
          <m:t>–</m:t>
        </m:r>
      </m:oMath>
      <w:r>
        <w:t xml:space="preserve">1.36 across ~35 analysts), down roughly 8.6% from $1.40 a year ago.</w:t>
      </w:r>
    </w:p>
    <w:p>
      <w:pPr>
        <w:pStyle w:val="Compact"/>
        <w:numPr>
          <w:ilvl w:val="0"/>
          <w:numId w:val="1003"/>
        </w:numPr>
      </w:pPr>
      <w:r>
        <w:rPr>
          <w:b/>
          <w:bCs/>
        </w:rPr>
        <w:t xml:space="preserve">Consensus revenue: ~</w:t>
      </w:r>
      <m:oMath>
        <m:r>
          <m:t>8.48</m:t>
        </m:r>
        <m:r>
          <m:rPr>
            <m:sty m:val="p"/>
          </m:rPr>
          <m:t>–</m:t>
        </m:r>
      </m:oMath>
      <w:r>
        <w:rPr>
          <w:b/>
          <w:bCs/>
        </w:rPr>
        <w:t xml:space="preserve">8.51 billion</w:t>
      </w:r>
      <w:r>
        <w:t xml:space="preserve">, up about 2.7% year-over-year.</w:t>
      </w:r>
    </w:p>
    <w:p>
      <w:pPr>
        <w:pStyle w:val="Compact"/>
        <w:numPr>
          <w:ilvl w:val="0"/>
          <w:numId w:val="1003"/>
        </w:numPr>
      </w:pPr>
      <w:r>
        <w:t xml:space="preserve">Estimate trend: EPS estimates have drifted down from about $1.34 to $1.28 over the past 90 days but have stabilized over the last 30 days, suggesting the downward revision cycle has largely run its course.</w:t>
      </w:r>
    </w:p>
    <w:p>
      <w:pPr>
        <w:pStyle w:val="Compact"/>
        <w:numPr>
          <w:ilvl w:val="0"/>
          <w:numId w:val="1003"/>
        </w:numPr>
      </w:pPr>
      <w:r>
        <w:t xml:space="preserve">Track record: PayPal has beaten EPS estimates in three of its last four quarters.</w:t>
      </w:r>
    </w:p>
    <w:p>
      <w:r>
        <w:pict>
          <v:rect style="width:0;height:1.5pt" o:hralign="center" o:hrstd="t" o:hr="t"/>
        </w:pict>
      </w:r>
    </w:p>
    <w:bookmarkEnd w:id="12"/>
    <w:bookmarkStart w:id="13" w:name="X78c5eae77374f0663d1ce49e9ce2c6add3652fa"/>
    <w:p>
      <w:pPr>
        <w:pStyle w:val="Heading2"/>
      </w:pPr>
      <w:r>
        <w:t xml:space="preserve">Key Things to Watch in the Print and on the Call</w:t>
      </w:r>
    </w:p>
    <w:p>
      <w:pPr>
        <w:pStyle w:val="Compact"/>
        <w:numPr>
          <w:ilvl w:val="0"/>
          <w:numId w:val="1004"/>
        </w:numPr>
      </w:pPr>
      <w:r>
        <w:rPr>
          <w:b/>
          <w:bCs/>
        </w:rPr>
        <w:t xml:space="preserve">Branded checkout trajectory.</w:t>
      </w:r>
      <w:r>
        <w:t xml:space="preserve"> </w:t>
      </w:r>
      <w:r>
        <w:t xml:space="preserve">Q1 showed a tick up in checkout TPV growth (to +2% CFN), but management flagged softer travel-vertical trends and continued weakness in Europe (particularly the U.K., with Germany still moderating) heading into Q2. Whether U.S. checkout continued to stabilize while Europe stayed soft will be a key swing factor for the "recovery" narrative.</w:t>
      </w:r>
    </w:p>
    <w:p>
      <w:pPr>
        <w:pStyle w:val="Compact"/>
        <w:numPr>
          <w:ilvl w:val="0"/>
          <w:numId w:val="1004"/>
        </w:numPr>
      </w:pPr>
      <w:r>
        <w:rPr>
          <w:b/>
          <w:bCs/>
        </w:rPr>
        <w:t xml:space="preserve">Venmo momentum.</w:t>
      </w:r>
      <w:r>
        <w:t xml:space="preserve"> </w:t>
      </w:r>
      <w:r>
        <w:t xml:space="preserve">Venmo has posted six straight quarters of double-digit TPV growth (+14% in Q1) on the back of debit card, Pay-with-Venmo, and P2P-to-PayPal interoperability. Continued acceleration here is central to the "financial services super-app" pitch Lores is making.</w:t>
      </w:r>
    </w:p>
    <w:p>
      <w:pPr>
        <w:pStyle w:val="Compact"/>
        <w:numPr>
          <w:ilvl w:val="0"/>
          <w:numId w:val="1004"/>
        </w:numPr>
      </w:pPr>
      <w:r>
        <w:rPr>
          <w:b/>
          <w:bCs/>
        </w:rPr>
        <w:t xml:space="preserve">PSP/Enterprise/Braintree strength.</w:t>
      </w:r>
      <w:r>
        <w:t xml:space="preserve"> </w:t>
      </w:r>
      <w:r>
        <w:t xml:space="preserve">Volume growth accelerated to the mid-teens in Q1 on strong retention and new merchant wins. Given Braintree's centrality to any Stripe deal rationale (some reports speculate Braintree could even be carved out in a revised structure), commentary here carries extra weight.</w:t>
      </w:r>
    </w:p>
    <w:p>
      <w:pPr>
        <w:pStyle w:val="Compact"/>
        <w:numPr>
          <w:ilvl w:val="0"/>
          <w:numId w:val="1004"/>
        </w:numPr>
      </w:pPr>
      <w:r>
        <w:rPr>
          <w:b/>
          <w:bCs/>
        </w:rPr>
        <w:t xml:space="preserve">Take rate and margin mix.</w:t>
      </w:r>
      <w:r>
        <w:t xml:space="preserve"> </w:t>
      </w:r>
      <w:r>
        <w:t xml:space="preserve">Transaction take rate slipped to 1.62% in Q1 on co-marketing/rewards investment and mix shift toward lower-margin Venmo/Enterprise volume — watch whether that pressure persists or eases.</w:t>
      </w:r>
    </w:p>
    <w:p>
      <w:pPr>
        <w:pStyle w:val="Compact"/>
        <w:numPr>
          <w:ilvl w:val="0"/>
          <w:numId w:val="1004"/>
        </w:numPr>
      </w:pPr>
      <w:r>
        <w:rPr>
          <w:b/>
          <w:bCs/>
        </w:rPr>
        <w:t xml:space="preserve">Cost-savings program cadence.</w:t>
      </w:r>
      <w:r>
        <w:t xml:space="preserve"> </w:t>
      </w:r>
      <w:r>
        <w:t xml:space="preserve">Management promised more detail "in the coming months" on the $1.5B+ savings program and a reinvestment framework, with external segment reporting expected sometime in 2027. Any concrete milestones disclosed tomorrow will be scrutinized as proof of execution discipline under Lores.</w:t>
      </w:r>
    </w:p>
    <w:p>
      <w:pPr>
        <w:pStyle w:val="Compact"/>
        <w:numPr>
          <w:ilvl w:val="0"/>
          <w:numId w:val="1004"/>
        </w:numPr>
      </w:pPr>
      <w:r>
        <w:rPr>
          <w:b/>
          <w:bCs/>
        </w:rPr>
        <w:t xml:space="preserve">Capital returns and free cash flow.</w:t>
      </w:r>
      <w:r>
        <w:t xml:space="preserve"> </w:t>
      </w:r>
      <w:r>
        <w:t xml:space="preserve">FY26 guidance assumes ~$6 billion in buybacks and at least $6 billion in adjusted free cash flow — confirmation (or a raise) of this would reinforce the balance-sheet strength argument in the takeover debate.</w:t>
      </w:r>
    </w:p>
    <w:p>
      <w:pPr>
        <w:pStyle w:val="Compact"/>
        <w:numPr>
          <w:ilvl w:val="0"/>
          <w:numId w:val="1004"/>
        </w:numPr>
      </w:pPr>
      <w:r>
        <w:rPr>
          <w:b/>
          <w:bCs/>
        </w:rPr>
        <w:t xml:space="preserve">Full-year guidance reaffirmation (or revision).</w:t>
      </w:r>
      <w:r>
        <w:t xml:space="preserve"> </w:t>
      </w:r>
      <w:r>
        <w:t xml:space="preserve">Any change to the "TM dollars roughly flat, EPS down low-single-digits to slightly positive" full-year framework would move the stock independent of the M&amp;A storyline.</w:t>
      </w:r>
    </w:p>
    <w:p>
      <w:pPr>
        <w:pStyle w:val="Compact"/>
        <w:numPr>
          <w:ilvl w:val="0"/>
          <w:numId w:val="1004"/>
        </w:numPr>
      </w:pPr>
      <w:r>
        <w:rPr>
          <w:b/>
          <w:bCs/>
        </w:rPr>
        <w:t xml:space="preserve">Any direct commentary on the Stripe/Advent situation.</w:t>
      </w:r>
      <w:r>
        <w:t xml:space="preserve"> </w:t>
      </w:r>
      <w:r>
        <w:t xml:space="preserve">Companies in active takeover discussions are typically constrained in what they can say, but even a "no comment beyond prior disclosures" line, or conversely any hint of a bump in board posture, will be parsed closely.</w:t>
      </w:r>
    </w:p>
    <w:p>
      <w:r>
        <w:pict>
          <v:rect style="width:0;height:1.5pt" o:hralign="center" o:hrstd="t" o:hr="t"/>
        </w:pict>
      </w:r>
    </w:p>
    <w:bookmarkEnd w:id="13"/>
    <w:bookmarkStart w:id="14" w:name="valuation-and-positioning-context"/>
    <w:p>
      <w:pPr>
        <w:pStyle w:val="Heading2"/>
      </w:pPr>
      <w:r>
        <w:t xml:space="preserve">Valuation and Positioning Context</w:t>
      </w:r>
    </w:p>
    <w:p>
      <w:pPr>
        <w:pStyle w:val="FirstParagraph"/>
      </w:pPr>
      <w:r>
        <w:t xml:space="preserve">Even after the M&amp;A-driven rally, PayPal shares (last around $56, up from roughly $43–47 in early July) trade at a meaningful discount to fintech/payments peers — forward P/E in the high-single digits versus a mid-teens-to-high-teens industry average in recent Zacks commentary. That valuation gap is precisely the crux of the board's argument that $60.50/share undervalues the franchise, and it's also why some analysts see room for a higher counter-bid rather than a walk-away by the Stripe/Advent consortium.</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Tomorrow's report carries two simultaneous narratives investors need to track: (1) the fundamental one — whether Lores's restructuring, cost cuts, and consumer-refocus strategy are translating into the "durable, reaccelerating" growth story management has promised, especially in branded checkout and Europe; and (2) the strategic one — whether the results are strong enough to justify the board's rejection of a $53 billion buyout and its push for a price closer to</w:t>
      </w:r>
      <w:r>
        <w:t xml:space="preserve"> </w:t>
      </w:r>
      <m:oMath>
        <m:r>
          <m:t>70</m:t>
        </m:r>
        <m:r>
          <m:rPr>
            <m:sty m:val="p"/>
          </m:rPr>
          <m:t>/</m:t>
        </m:r>
        <m:r>
          <m:t>s</m:t>
        </m:r>
        <m:r>
          <m:t>h</m:t>
        </m:r>
        <m:r>
          <m:t>a</m:t>
        </m:r>
        <m:r>
          <m:t>r</m:t>
        </m:r>
        <m:r>
          <m:t>e</m:t>
        </m:r>
        <m:r>
          <m:rPr>
            <m:sty m:val="p"/>
          </m:rPr>
          <m:t>.</m:t>
        </m:r>
        <m:r>
          <m:t>G</m:t>
        </m:r>
        <m:r>
          <m:t>i</m:t>
        </m:r>
        <m:r>
          <m:t>v</m:t>
        </m:r>
        <m:r>
          <m:t>e</m:t>
        </m:r>
        <m:r>
          <m:t>n</m:t>
        </m:r>
        <m:r>
          <m:t>d</m:t>
        </m:r>
        <m:r>
          <m:t>e</m:t>
        </m:r>
        <m:r>
          <m:t>p</m:t>
        </m:r>
        <m:r>
          <m:t>r</m:t>
        </m:r>
        <m:r>
          <m:t>e</m:t>
        </m:r>
        <m:r>
          <m:t>s</m:t>
        </m:r>
        <m:r>
          <m:t>s</m:t>
        </m:r>
        <m:r>
          <m:t>e</m:t>
        </m:r>
        <m:r>
          <m:t>d</m:t>
        </m:r>
        <m:r>
          <m:t>b</m:t>
        </m:r>
        <m:r>
          <m:t>u</m:t>
        </m:r>
        <m:r>
          <m:t>t</m:t>
        </m:r>
        <m:r>
          <m:t>s</m:t>
        </m:r>
        <m:r>
          <m:t>t</m:t>
        </m:r>
        <m:r>
          <m:t>a</m:t>
        </m:r>
        <m:r>
          <m:t>b</m:t>
        </m:r>
        <m:r>
          <m:t>i</m:t>
        </m:r>
        <m:r>
          <m:t>l</m:t>
        </m:r>
        <m:r>
          <m:t>i</m:t>
        </m:r>
        <m:r>
          <m:t>z</m:t>
        </m:r>
        <m:r>
          <m:t>i</m:t>
        </m:r>
        <m:r>
          <m:t>n</m:t>
        </m:r>
        <m:r>
          <m:t>g</m:t>
        </m:r>
        <m:r>
          <m:t>e</m:t>
        </m:r>
        <m:r>
          <m:t>x</m:t>
        </m:r>
        <m:r>
          <m:t>p</m:t>
        </m:r>
        <m:r>
          <m:t>e</m:t>
        </m:r>
        <m:r>
          <m:t>c</m:t>
        </m:r>
        <m:r>
          <m:t>t</m:t>
        </m:r>
        <m:r>
          <m:t>a</m:t>
        </m:r>
        <m:r>
          <m:t>t</m:t>
        </m:r>
        <m:r>
          <m:t>i</m:t>
        </m:r>
        <m:r>
          <m:t>o</m:t>
        </m:r>
        <m:r>
          <m:t>n</m:t>
        </m:r>
        <m:r>
          <m:t>s</m:t>
        </m:r>
        <m:r>
          <m:rPr>
            <m:sty m:val="p"/>
          </m:rPr>
          <m:t>(</m:t>
        </m:r>
        <m:r>
          <m:t>E</m:t>
        </m:r>
        <m:r>
          <m:t>P</m:t>
        </m:r>
        <m:r>
          <m:t>S</m:t>
        </m:r>
        <m:r>
          <m:t>c</m:t>
        </m:r>
        <m:r>
          <m:t>o</m:t>
        </m:r>
        <m:r>
          <m:t>n</m:t>
        </m:r>
        <m:r>
          <m:t>s</m:t>
        </m:r>
        <m:r>
          <m:t>e</m:t>
        </m:r>
        <m:r>
          <m:t>n</m:t>
        </m:r>
        <m:r>
          <m:t>s</m:t>
        </m:r>
        <m:r>
          <m:t>u</m:t>
        </m:r>
        <m:r>
          <m:t>s</m:t>
        </m:r>
        <m:r>
          <m:t>o</m:t>
        </m:r>
        <m:r>
          <m:t>f</m:t>
        </m:r>
        <m:r>
          <m:t> </m:t>
        </m:r>
      </m:oMath>
      <w:r>
        <w:t xml:space="preserve">1.28, down ~9% YoY) and a company-guided quarter that management has already characterized as the toughest comp of the year, the bar for a "beat" is arguably lower than usual — but the stakes for how the market interprets the underlying trend are considerably higher than usual given the live takeover situation.</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2026-07-28T00:06:51Z</dcterms:created>
  <dcterms:modified xsi:type="dcterms:W3CDTF">2026-07-28T00:06:51Z</dcterms:modified>
</cp:coreProperties>
</file>

<file path=docProps/custom.xml><?xml version="1.0" encoding="utf-8"?>
<Properties xmlns="http://schemas.openxmlformats.org/officeDocument/2006/custom-properties" xmlns:vt="http://schemas.openxmlformats.org/officeDocument/2006/docPropsVTypes"/>
</file>