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ypl-earnings-predictions--2026-07-28"/>
    <w:p>
      <w:pPr>
        <w:pStyle w:val="Heading1"/>
      </w:pPr>
      <w:r>
        <w:t xml:space="preserve">PYPL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Online branded-checkout TPV growth (FX-neutral)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~0.8% vs. cons 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Transaction-margin dollars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~$3.75B vs. cons $3.73B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~$5.28 vs. cons $5.32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Online branded-checkout TPV growth (FX-neutral)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~1.0% vs. cons 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~$6.0B vs. cons $6.0B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annualized cost savings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≥$1.5B vs. cons $1.5B (2026–2028)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-4.8%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is outweighed by branded-checkout weakness and FY2026 EPS guidance below ~</w:t>
            </w:r>
            <m:oMath>
              <m:r>
                <m:t>5.32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a</m:t>
              </m:r>
              <m:r>
                <m:t>n</m:t>
              </m:r>
              <m:r>
                <m:t>d</m:t>
              </m:r>
              <m:r>
                <m:t>2027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;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e</m:t>
              </m:r>
              <m:r>
                <m:t>d</m:t>
              </m:r>
              <m:r>
                <m:t>t</m:t>
              </m:r>
              <m:r>
                <m:t>a</m:t>
              </m:r>
              <m:r>
                <m:t>k</m:t>
              </m:r>
              <m:r>
                <m:t>e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t</m:t>
              </m:r>
              <m:r>
                <m:t>y</m:t>
              </m:r>
              <m:r>
                <m:t>a</m:t>
              </m:r>
              <m:r>
                <m:t>l</m:t>
              </m:r>
              <m:r>
                <m:t>l</m:t>
              </m:r>
              <m:r>
                <m:t>o</m:t>
              </m:r>
              <m:r>
                <m:t>w</m:t>
              </m:r>
              <m:r>
                <m:t>s</m:t>
              </m:r>
              <m:r>
                <m:t>p</m:t>
              </m:r>
              <m:r>
                <m:t>a</m:t>
              </m:r>
              <m:r>
                <m:t>r</m:t>
              </m:r>
              <m:r>
                <m:t>t</m:t>
              </m:r>
              <m:r>
                <m:t>o</m:t>
              </m:r>
              <m:r>
                <m:t>f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8.72 pre-bid-to-current premium to unwind, though the reported $60.50 offer constrains downside.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2026-07-28T00:06:09Z</dcterms:created>
  <dcterms:modified xsi:type="dcterms:W3CDTF">2026-07-28T00:06:09Z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