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paypal-q2-2026-earnings-preview"/>
    <w:p>
      <w:pPr>
        <w:pStyle w:val="Heading1"/>
      </w:pPr>
      <w:r>
        <w:t xml:space="preserve">PayPal Q2 2026 Earnings Preview</w:t>
      </w:r>
    </w:p>
    <w:p>
      <w:pPr>
        <w:pStyle w:val="FirstParagraph"/>
      </w:pPr>
      <w:r>
        <w:rPr>
          <w:b/>
          <w:bCs/>
        </w:rPr>
        <w:t xml:space="preserve">Report:</w:t>
      </w:r>
      <w:r>
        <w:t xml:space="preserve"> </w:t>
      </w:r>
      <w:r>
        <w:t xml:space="preserve">Tuesday, July 28, 2026, before the market opens</w:t>
      </w:r>
      <w:r>
        <w:br/>
      </w:r>
      <w:r>
        <w:rPr>
          <w:b/>
          <w:bCs/>
        </w:rPr>
        <w:t xml:space="preserve">Conference call:</w:t>
      </w:r>
      <w:r>
        <w:t xml:space="preserve"> </w:t>
      </w:r>
      <w:r>
        <w:t xml:space="preserve">8:00 a.m. ET</w:t>
      </w:r>
      <w:r>
        <w:br/>
      </w:r>
      <w:r>
        <w:rPr>
          <w:b/>
          <w:bCs/>
        </w:rPr>
        <w:t xml:space="preserve">PYPL closing price, July 27:</w:t>
      </w:r>
      <w:r>
        <w:t xml:space="preserve"> </w:t>
      </w:r>
      <w:r>
        <w:rPr>
          <w:b/>
          <w:bCs/>
        </w:rPr>
        <w:t xml:space="preserve">$56.09</w:t>
      </w:r>
    </w:p>
    <w:bookmarkStart w:id="9" w:name="executive-view"/>
    <w:p>
      <w:pPr>
        <w:pStyle w:val="Heading2"/>
      </w:pPr>
      <w:r>
        <w:t xml:space="preserve">Executive view</w:t>
      </w:r>
    </w:p>
    <w:p>
      <w:pPr>
        <w:pStyle w:val="FirstParagraph"/>
      </w:pPr>
      <w:r>
        <w:t xml:space="preserve">This will not be a normal PayPal earnings report. Investors are evaluating two overlapping events: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Whether the operating turnaround is stabilizing PayPal’s core branded-checkout franchise.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Whether the reported $60.50-per-share takeover proposal from Stripe and Advent International advances, improves, or disappears.</w:t>
      </w:r>
    </w:p>
    <w:p>
      <w:pPr>
        <w:pStyle w:val="FirstParagraph"/>
      </w:pPr>
      <w:r>
        <w:t xml:space="preserve">The Q2 comparison is unusually difficult, and management already guided to lower transaction-margin dollars and adjusted EPS. Consequently, a modest earnings beat alone probably will not determine the reaction. The most important variables are branded-checkout growth, second-half guidance, details of the cost-reduction program, and any commentary—however limited—on strategic alternatives.</w:t>
      </w:r>
    </w:p>
    <w:p>
      <w:pPr>
        <w:pStyle w:val="BodyText"/>
      </w:pPr>
      <w:r>
        <w:t xml:space="preserve">The fundamental hurdle is fairly low, but the stock’s takeover-related rally has raised the event hurdle.</w:t>
      </w:r>
    </w:p>
    <w:p>
      <w:r>
        <w:pict>
          <v:rect style="width:0;height:1.5pt" o:hralign="center" o:hrstd="t" o:hr="t"/>
        </w:pict>
      </w:r>
    </w:p>
    <w:bookmarkEnd w:id="9"/>
    <w:bookmarkStart w:id="12" w:name="the-numbers-to-know"/>
    <w:p>
      <w:pPr>
        <w:pStyle w:val="Heading2"/>
      </w:pPr>
      <w:r>
        <w:t xml:space="preserve">The numbers to know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2026 expectation/guide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Implied change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Revenue, consensus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$8.48B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$8.29B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+2.3%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EPS, consensus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$1.28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$1.40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-8.6%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Total payment volume, consensus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$474.5B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$443.5B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+7.0%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Transaction revenue, consensus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$7.66B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$7.44B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+3%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Transaction-margin dollars, company guide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</w:t>
            </w:r>
            <w:r>
              <w:t xml:space="preserve"> </w:t>
            </w:r>
            <w:r>
              <w:rPr>
                <w:b/>
                <w:bCs/>
              </w:rPr>
              <w:t xml:space="preserve">$3.73B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$3.84B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</w:t>
            </w:r>
            <w:r>
              <w:t xml:space="preserve"> </w:t>
            </w:r>
            <w:r>
              <w:rPr>
                <w:b/>
                <w:bCs/>
              </w:rPr>
              <w:t xml:space="preserve">-3%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 dollars excluding balance interest, company guide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</w:t>
            </w:r>
            <w:r>
              <w:t xml:space="preserve"> </w:t>
            </w:r>
            <w:r>
              <w:rPr>
                <w:b/>
                <w:bCs/>
              </w:rPr>
              <w:t xml:space="preserve">$3.46B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$3.53B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</w:t>
            </w:r>
            <w:r>
              <w:t xml:space="preserve"> </w:t>
            </w:r>
            <w:r>
              <w:rPr>
                <w:b/>
                <w:bCs/>
              </w:rPr>
              <w:t xml:space="preserve">-2%</w:t>
            </w:r>
          </w:p>
        </w:tc>
      </w:tr>
    </w:tbl>
    <w:p>
      <w:pPr>
        <w:pStyle w:val="BodyText"/>
      </w:pPr>
      <w:r>
        <w:t xml:space="preserve">The Street’s $1.28 adjusted-EPS estimate essentially matches PayPal’s guidance for an approximately 9% year-over-year decline. Consensus revenue and TPV estimates imply that volume will continue growing materially faster than revenue—a reminder that</w:t>
      </w:r>
      <w:r>
        <w:t xml:space="preserve"> </w:t>
      </w:r>
      <w:r>
        <w:rPr>
          <w:b/>
          <w:bCs/>
        </w:rPr>
        <w:t xml:space="preserve">mix and monetization remain more important than aggregate payment volume</w:t>
      </w:r>
      <w:r>
        <w:t xml:space="preserve">. (</w:t>
      </w:r>
      <w:hyperlink r:id="rId10">
        <w:r>
          <w:rPr>
            <w:rStyle w:val="Hyperlink"/>
          </w:rPr>
          <w:t xml:space="preserve">zacks.com</w:t>
        </w:r>
      </w:hyperlink>
      <w:r>
        <w:t xml:space="preserve">)</w:t>
      </w:r>
    </w:p>
    <w:p>
      <w:pPr>
        <w:pStyle w:val="BodyText"/>
      </w:pPr>
      <w:r>
        <w:t xml:space="preserve">Management’s formal Q2 outlook calls for:</w:t>
      </w:r>
    </w:p>
    <w:p>
      <w:pPr>
        <w:pStyle w:val="Compact"/>
        <w:numPr>
          <w:ilvl w:val="0"/>
          <w:numId w:val="1002"/>
        </w:numPr>
      </w:pPr>
      <w:r>
        <w:t xml:space="preserve">Low-single-digit FX-neutral revenue growth</w:t>
      </w:r>
    </w:p>
    <w:p>
      <w:pPr>
        <w:pStyle w:val="Compact"/>
        <w:numPr>
          <w:ilvl w:val="0"/>
          <w:numId w:val="1002"/>
        </w:numPr>
      </w:pPr>
      <w:r>
        <w:t xml:space="preserve">Approximately 3% lower transaction-margin dollars</w:t>
      </w:r>
    </w:p>
    <w:p>
      <w:pPr>
        <w:pStyle w:val="Compact"/>
        <w:numPr>
          <w:ilvl w:val="0"/>
          <w:numId w:val="1002"/>
        </w:numPr>
      </w:pPr>
      <w:r>
        <w:t xml:space="preserve">Approximately 2% lower transaction-margin dollars excluding interest on customer balances</w:t>
      </w:r>
    </w:p>
    <w:p>
      <w:pPr>
        <w:pStyle w:val="Compact"/>
        <w:numPr>
          <w:ilvl w:val="0"/>
          <w:numId w:val="1002"/>
        </w:numPr>
      </w:pPr>
      <w:r>
        <w:t xml:space="preserve">Mid-single-digit growth in non-transaction operating expenses</w:t>
      </w:r>
    </w:p>
    <w:p>
      <w:pPr>
        <w:pStyle w:val="Compact"/>
        <w:numPr>
          <w:ilvl w:val="0"/>
          <w:numId w:val="1002"/>
        </w:numPr>
      </w:pPr>
      <w:r>
        <w:t xml:space="preserve">Approximately 9% lower non-GAAP EPS</w:t>
      </w:r>
    </w:p>
    <w:p>
      <w:pPr>
        <w:pStyle w:val="Compact"/>
        <w:numPr>
          <w:ilvl w:val="0"/>
          <w:numId w:val="1002"/>
        </w:numPr>
      </w:pPr>
      <w:r>
        <w:t xml:space="preserve">A mid-single-digit decline in GAAP EPS</w:t>
      </w:r>
    </w:p>
    <w:p>
      <w:pPr>
        <w:pStyle w:val="FirstParagraph"/>
      </w:pPr>
      <w:r>
        <w:t xml:space="preserve">PayPal attributed the expected decline partly to a tough comparison: Q2 2025 included a roughly 1.5-percentage-point transaction-margin benefit from a payment-partner renewal and unusually strong credit performance. (</w:t>
      </w:r>
      <w:hyperlink r:id="rId11">
        <w:r>
          <w:rPr>
            <w:rStyle w:val="Hyperlink"/>
          </w:rPr>
          <w:t xml:space="preserve">sec.gov</w:t>
        </w:r>
      </w:hyperlink>
      <w:r>
        <w:t xml:space="preserve">)</w:t>
      </w:r>
    </w:p>
    <w:p>
      <w:r>
        <w:pict>
          <v:rect style="width:0;height:1.5pt" o:hralign="center" o:hrstd="t" o:hr="t"/>
        </w:pict>
      </w:r>
    </w:p>
    <w:bookmarkEnd w:id="12"/>
    <w:bookmarkStart w:id="15" w:name="Xab84a2b5b059ba9c99eadcd283f3c948751ead6"/>
    <w:p>
      <w:pPr>
        <w:pStyle w:val="Heading2"/>
      </w:pPr>
      <w:r>
        <w:t xml:space="preserve">1. Branded checkout remains the key operating KPI</w:t>
      </w:r>
    </w:p>
    <w:p>
      <w:pPr>
        <w:pStyle w:val="FirstParagraph"/>
      </w:pPr>
      <w:r>
        <w:t xml:space="preserve">PayPal’s core problem is not payment volume or cash generation. It is the slow growth of its higher-margin branded checkout business.</w:t>
      </w:r>
    </w:p>
    <w:p>
      <w:pPr>
        <w:pStyle w:val="BodyText"/>
      </w:pPr>
      <w:r>
        <w:t xml:space="preserve">In Q1:</w:t>
      </w:r>
    </w:p>
    <w:p>
      <w:pPr>
        <w:pStyle w:val="Compact"/>
        <w:numPr>
          <w:ilvl w:val="0"/>
          <w:numId w:val="1003"/>
        </w:numPr>
      </w:pPr>
      <w:r>
        <w:t xml:space="preserve">Online branded-checkout volume grew just</w:t>
      </w:r>
      <w:r>
        <w:t xml:space="preserve"> </w:t>
      </w:r>
      <w:r>
        <w:rPr>
          <w:b/>
          <w:bCs/>
        </w:rPr>
        <w:t xml:space="preserve">2% FX-neutral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Management said early-Q2 growth was running near the low end of its full-year expectation.</w:t>
      </w:r>
    </w:p>
    <w:p>
      <w:pPr>
        <w:pStyle w:val="Compact"/>
        <w:numPr>
          <w:ilvl w:val="0"/>
          <w:numId w:val="1003"/>
        </w:numPr>
      </w:pPr>
      <w:r>
        <w:t xml:space="preserve">Europe remained soft, particularly the U.K. and Germany.</w:t>
      </w:r>
    </w:p>
    <w:p>
      <w:pPr>
        <w:pStyle w:val="Compact"/>
        <w:numPr>
          <w:ilvl w:val="0"/>
          <w:numId w:val="1003"/>
        </w:numPr>
      </w:pPr>
      <w:r>
        <w:t xml:space="preserve">Travel weakened as the quarter began.</w:t>
      </w:r>
    </w:p>
    <w:p>
      <w:pPr>
        <w:pStyle w:val="Compact"/>
        <w:numPr>
          <w:ilvl w:val="0"/>
          <w:numId w:val="1003"/>
        </w:numPr>
      </w:pPr>
      <w:r>
        <w:t xml:space="preserve">Management retained its 2026 outlook for branded-checkout TPV growth of slightly positive to low single digits. (</w:t>
      </w:r>
      <w:hyperlink r:id="rId11">
        <w:r>
          <w:rPr>
            <w:rStyle w:val="Hyperlink"/>
          </w:rPr>
          <w:t xml:space="preserve">sec.gov</w:t>
        </w:r>
      </w:hyperlink>
      <w:r>
        <w:t xml:space="preserve">)</w:t>
      </w:r>
    </w:p>
    <w:bookmarkStart w:id="13" w:name="what-would-be-constructive"/>
    <w:p>
      <w:pPr>
        <w:pStyle w:val="Heading3"/>
      </w:pPr>
      <w:r>
        <w:t xml:space="preserve">What would be constructive</w:t>
      </w:r>
    </w:p>
    <w:p>
      <w:pPr>
        <w:pStyle w:val="Compact"/>
        <w:numPr>
          <w:ilvl w:val="0"/>
          <w:numId w:val="1004"/>
        </w:numPr>
      </w:pPr>
      <w:r>
        <w:t xml:space="preserve">Branded growth holding around 2% or improving despite the difficult environment</w:t>
      </w:r>
    </w:p>
    <w:p>
      <w:pPr>
        <w:pStyle w:val="Compact"/>
        <w:numPr>
          <w:ilvl w:val="0"/>
          <w:numId w:val="1004"/>
        </w:numPr>
      </w:pPr>
      <w:r>
        <w:t xml:space="preserve">Better trends late in the quarter or in July</w:t>
      </w:r>
    </w:p>
    <w:p>
      <w:pPr>
        <w:pStyle w:val="Compact"/>
        <w:numPr>
          <w:ilvl w:val="0"/>
          <w:numId w:val="1004"/>
        </w:numPr>
      </w:pPr>
      <w:r>
        <w:t xml:space="preserve">Evidence that improved checkout presentment and merchant integrations are lifting conversion</w:t>
      </w:r>
    </w:p>
    <w:p>
      <w:pPr>
        <w:pStyle w:val="Compact"/>
        <w:numPr>
          <w:ilvl w:val="0"/>
          <w:numId w:val="1004"/>
        </w:numPr>
      </w:pPr>
      <w:r>
        <w:t xml:space="preserve">More specific progress among PayPal’s largest merchants</w:t>
      </w:r>
    </w:p>
    <w:p>
      <w:pPr>
        <w:pStyle w:val="Compact"/>
        <w:numPr>
          <w:ilvl w:val="0"/>
          <w:numId w:val="1004"/>
        </w:numPr>
      </w:pPr>
      <w:r>
        <w:t xml:space="preserve">Stabilization in Europe</w:t>
      </w:r>
    </w:p>
    <w:bookmarkEnd w:id="13"/>
    <w:bookmarkStart w:id="14" w:name="what-would-be-concerning"/>
    <w:p>
      <w:pPr>
        <w:pStyle w:val="Heading3"/>
      </w:pPr>
      <w:r>
        <w:t xml:space="preserve">What would be concerning</w:t>
      </w:r>
    </w:p>
    <w:p>
      <w:pPr>
        <w:pStyle w:val="Compact"/>
        <w:numPr>
          <w:ilvl w:val="0"/>
          <w:numId w:val="1005"/>
        </w:numPr>
      </w:pPr>
      <w:r>
        <w:t xml:space="preserve">Branded growth falling toward zero or turning negative</w:t>
      </w:r>
    </w:p>
    <w:p>
      <w:pPr>
        <w:pStyle w:val="Compact"/>
        <w:numPr>
          <w:ilvl w:val="0"/>
          <w:numId w:val="1005"/>
        </w:numPr>
      </w:pPr>
      <w:r>
        <w:t xml:space="preserve">Another reduction in the full-year branded outlook</w:t>
      </w:r>
    </w:p>
    <w:p>
      <w:pPr>
        <w:pStyle w:val="Compact"/>
        <w:numPr>
          <w:ilvl w:val="0"/>
          <w:numId w:val="1005"/>
        </w:numPr>
      </w:pPr>
      <w:r>
        <w:t xml:space="preserve">Management attributing weakness mainly to macro conditions without producing execution-related proof points</w:t>
      </w:r>
    </w:p>
    <w:p>
      <w:pPr>
        <w:pStyle w:val="Compact"/>
        <w:numPr>
          <w:ilvl w:val="0"/>
          <w:numId w:val="1005"/>
        </w:numPr>
      </w:pPr>
      <w:r>
        <w:t xml:space="preserve">Growth coming predominantly from lower-yield processing volume</w:t>
      </w:r>
    </w:p>
    <w:p>
      <w:pPr>
        <w:pStyle w:val="FirstParagraph"/>
      </w:pPr>
      <w:r>
        <w:t xml:space="preserve">A consolidated revenue or TPV beat driven by Braintree would not resolve the core debate if branded checkout continues losing relevance.</w:t>
      </w:r>
    </w:p>
    <w:p>
      <w:r>
        <w:pict>
          <v:rect style="width:0;height:1.5pt" o:hralign="center" o:hrstd="t" o:hr="t"/>
        </w:pict>
      </w:r>
    </w:p>
    <w:bookmarkEnd w:id="14"/>
    <w:bookmarkEnd w:id="15"/>
    <w:bookmarkStart w:id="16" w:name="X65689506ca4db9b71dbc6f4a79405e6716744ce"/>
    <w:p>
      <w:pPr>
        <w:pStyle w:val="Heading2"/>
      </w:pPr>
      <w:r>
        <w:t xml:space="preserve">2. Transaction-margin dollars matter more than TPV</w:t>
      </w:r>
    </w:p>
    <w:p>
      <w:pPr>
        <w:pStyle w:val="FirstParagraph"/>
      </w:pPr>
      <w:r>
        <w:t xml:space="preserve">PayPal’s Q1 TPV grew 11% at spot rates and 8% FX-neutral, but transaction-margin dollars increased only 3%. The transaction take rate declined by six basis points, reflecting rewards, branded-checkout investments, and faster growth in lower-yield Venmo and enterprise-processing volume. PayPal’s transaction margin fell to 45.6% from 47.7% a year earlier. (</w:t>
      </w:r>
      <w:hyperlink r:id="rId11">
        <w:r>
          <w:rPr>
            <w:rStyle w:val="Hyperlink"/>
          </w:rPr>
          <w:t xml:space="preserve">sec.gov</w:t>
        </w:r>
      </w:hyperlink>
      <w:r>
        <w:t xml:space="preserve">)</w:t>
      </w:r>
    </w:p>
    <w:p>
      <w:pPr>
        <w:pStyle w:val="BodyText"/>
      </w:pPr>
      <w:r>
        <w:t xml:space="preserve">That dynamic is likely to remain visible in Q2: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Enterprise Payments/Braintree</w:t>
      </w:r>
      <w:r>
        <w:t xml:space="preserve"> </w:t>
      </w:r>
      <w:r>
        <w:t xml:space="preserve">can support strong TPV growth but carries lower economics.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Rewards and checkout incentives</w:t>
      </w:r>
      <w:r>
        <w:t xml:space="preserve"> </w:t>
      </w:r>
      <w:r>
        <w:t xml:space="preserve">support engagement but pressure near-term take rate.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Interest on customer balances</w:t>
      </w:r>
      <w:r>
        <w:t xml:space="preserve"> </w:t>
      </w:r>
      <w:r>
        <w:t xml:space="preserve">may be less supportive as rates change.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Credit performance</w:t>
      </w:r>
      <w:r>
        <w:t xml:space="preserve"> </w:t>
      </w:r>
      <w:r>
        <w:t xml:space="preserve">has been strong, but Q2 faces a difficult comparison.</w:t>
      </w:r>
    </w:p>
    <w:p>
      <w:pPr>
        <w:pStyle w:val="Compact"/>
        <w:numPr>
          <w:ilvl w:val="0"/>
          <w:numId w:val="1006"/>
        </w:numPr>
      </w:pPr>
      <w:r>
        <w:t xml:space="preserve">Management expects 2026 growth investments to reduce transaction-margin-dollar growth by roughly three percentage points.</w:t>
      </w:r>
    </w:p>
    <w:p>
      <w:pPr>
        <w:pStyle w:val="FirstParagraph"/>
      </w:pPr>
      <w:r>
        <w:t xml:space="preserve">The cleanest positive surprise would be transaction-margin dollars above the approximately</w:t>
      </w:r>
      <w:r>
        <w:t xml:space="preserve"> </w:t>
      </w:r>
      <w:r>
        <w:rPr>
          <w:b/>
          <w:bCs/>
        </w:rPr>
        <w:t xml:space="preserve">$3.73 billion</w:t>
      </w:r>
      <w:r>
        <w:t xml:space="preserve"> </w:t>
      </w:r>
      <w:r>
        <w:t xml:space="preserve">implied by guidance, accompanied by stable loss rates and evidence of improving Braintree monetization through value-added services.</w:t>
      </w:r>
    </w:p>
    <w:p>
      <w:r>
        <w:pict>
          <v:rect style="width:0;height:1.5pt" o:hralign="center" o:hrstd="t" o:hr="t"/>
        </w:pict>
      </w:r>
    </w:p>
    <w:bookmarkEnd w:id="16"/>
    <w:bookmarkStart w:id="17" w:name="X19fd8453d7754c2b98be6c80a55a26df5d3fb35"/>
    <w:p>
      <w:pPr>
        <w:pStyle w:val="Heading2"/>
      </w:pPr>
      <w:r>
        <w:t xml:space="preserve">3. Venmo and newer products need to offset—not merely mask—branded weakness</w:t>
      </w:r>
    </w:p>
    <w:p>
      <w:pPr>
        <w:pStyle w:val="FirstParagraph"/>
      </w:pPr>
      <w:r>
        <w:t xml:space="preserve">PayPal entered Q2 with strong momentum in several growth businesses:</w:t>
      </w:r>
    </w:p>
    <w:p>
      <w:pPr>
        <w:pStyle w:val="Compact"/>
        <w:numPr>
          <w:ilvl w:val="0"/>
          <w:numId w:val="1007"/>
        </w:numPr>
      </w:pPr>
      <w:r>
        <w:t xml:space="preserve">Venmo TPV grew</w:t>
      </w:r>
      <w:r>
        <w:t xml:space="preserve"> </w:t>
      </w:r>
      <w:r>
        <w:rPr>
          <w:b/>
          <w:bCs/>
        </w:rPr>
        <w:t xml:space="preserve">14%</w:t>
      </w:r>
      <w:r>
        <w:t xml:space="preserve"> </w:t>
      </w:r>
      <w:r>
        <w:t xml:space="preserve">in Q1.</w:t>
      </w:r>
    </w:p>
    <w:p>
      <w:pPr>
        <w:pStyle w:val="Compact"/>
        <w:numPr>
          <w:ilvl w:val="0"/>
          <w:numId w:val="1007"/>
        </w:numPr>
      </w:pPr>
      <w:r>
        <w:t xml:space="preserve">Pay with Venmo volume grew</w:t>
      </w:r>
      <w:r>
        <w:t xml:space="preserve"> </w:t>
      </w:r>
      <w:r>
        <w:rPr>
          <w:b/>
          <w:bCs/>
        </w:rPr>
        <w:t xml:space="preserve">34%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t xml:space="preserve">BNPL volume grew</w:t>
      </w:r>
      <w:r>
        <w:t xml:space="preserve"> </w:t>
      </w:r>
      <w:r>
        <w:rPr>
          <w:b/>
          <w:bCs/>
        </w:rPr>
        <w:t xml:space="preserve">23%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t xml:space="preserve">PayPal and Venmo debit-card and tap-to-pay spend grew approximately</w:t>
      </w:r>
      <w:r>
        <w:t xml:space="preserve"> </w:t>
      </w:r>
      <w:r>
        <w:rPr>
          <w:b/>
          <w:bCs/>
        </w:rPr>
        <w:t xml:space="preserve">60%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t xml:space="preserve">Enterprise Payments grew in the mid-teens.</w:t>
      </w:r>
    </w:p>
    <w:p>
      <w:pPr>
        <w:pStyle w:val="FirstParagraph"/>
      </w:pPr>
      <w:r>
        <w:t xml:space="preserve">These products are strategically important because PayPal is trying to become more central to consumers’ financial lives rather than remaining a checkout button used occasionally.</w:t>
      </w:r>
    </w:p>
    <w:p>
      <w:pPr>
        <w:pStyle w:val="BodyText"/>
      </w:pPr>
      <w:r>
        <w:t xml:space="preserve">Investors should listen for:</w:t>
      </w:r>
    </w:p>
    <w:p>
      <w:pPr>
        <w:pStyle w:val="Compact"/>
        <w:numPr>
          <w:ilvl w:val="0"/>
          <w:numId w:val="1008"/>
        </w:numPr>
      </w:pPr>
      <w:r>
        <w:t xml:space="preserve">Venmo revenue growth and monetization, not just TPV</w:t>
      </w:r>
    </w:p>
    <w:p>
      <w:pPr>
        <w:pStyle w:val="Compact"/>
        <w:numPr>
          <w:ilvl w:val="0"/>
          <w:numId w:val="1008"/>
        </w:numPr>
      </w:pPr>
      <w:r>
        <w:t xml:space="preserve">Debit-card adoption and engagement</w:t>
      </w:r>
    </w:p>
    <w:p>
      <w:pPr>
        <w:pStyle w:val="Compact"/>
        <w:numPr>
          <w:ilvl w:val="0"/>
          <w:numId w:val="1008"/>
        </w:numPr>
      </w:pPr>
      <w:r>
        <w:t xml:space="preserve">Pay with Venmo merchant acceptance</w:t>
      </w:r>
    </w:p>
    <w:p>
      <w:pPr>
        <w:pStyle w:val="Compact"/>
        <w:numPr>
          <w:ilvl w:val="0"/>
          <w:numId w:val="1008"/>
        </w:numPr>
      </w:pPr>
      <w:r>
        <w:t xml:space="preserve">BNPL customer acquisition and credit quality</w:t>
      </w:r>
    </w:p>
    <w:p>
      <w:pPr>
        <w:pStyle w:val="Compact"/>
        <w:numPr>
          <w:ilvl w:val="0"/>
          <w:numId w:val="1008"/>
        </w:numPr>
      </w:pPr>
      <w:r>
        <w:t xml:space="preserve">Attachment of fraud, authorization and other value-added services to Braintree</w:t>
      </w:r>
    </w:p>
    <w:p>
      <w:pPr>
        <w:pStyle w:val="Compact"/>
        <w:numPr>
          <w:ilvl w:val="0"/>
          <w:numId w:val="1008"/>
        </w:numPr>
      </w:pPr>
      <w:r>
        <w:t xml:space="preserve">Any measurable contribution from PYUSD, crypto or new consumer financial products</w:t>
      </w:r>
    </w:p>
    <w:p>
      <w:pPr>
        <w:pStyle w:val="FirstParagraph"/>
      </w:pPr>
      <w:r>
        <w:t xml:space="preserve">Strong Venmo growth would be encouraging, but the market is unlikely to award a major rerating unless it also improves consolidated transaction-margin dollars or shows a credible path to doing so.</w:t>
      </w:r>
    </w:p>
    <w:p>
      <w:r>
        <w:pict>
          <v:rect style="width:0;height:1.5pt" o:hralign="center" o:hrstd="t" o:hr="t"/>
        </w:pict>
      </w:r>
    </w:p>
    <w:bookmarkEnd w:id="17"/>
    <w:bookmarkStart w:id="19" w:name="X4ad28e12ab9c04a9d7a808979f6000c807dc6b5"/>
    <w:p>
      <w:pPr>
        <w:pStyle w:val="Heading2"/>
      </w:pPr>
      <w:r>
        <w:t xml:space="preserve">4. The $1.5 billion cost program needs a clearer bridge</w:t>
      </w:r>
    </w:p>
    <w:p>
      <w:pPr>
        <w:pStyle w:val="FirstParagraph"/>
      </w:pPr>
      <w:r>
        <w:t xml:space="preserve">New CEO Enrique Lores reorganized PayPal around three businesses: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Checkout Solutions &amp; PayPal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Consumer Financial Services &amp; Venmo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Payment Services &amp; Crypto</w:t>
      </w:r>
    </w:p>
    <w:p>
      <w:pPr>
        <w:pStyle w:val="FirstParagraph"/>
      </w:pPr>
      <w:r>
        <w:t xml:space="preserve">Management expects at least</w:t>
      </w:r>
      <w:r>
        <w:t xml:space="preserve"> </w:t>
      </w:r>
      <w:r>
        <w:rPr>
          <w:b/>
          <w:bCs/>
        </w:rPr>
        <w:t xml:space="preserve">$1.5 billion of gross annualized savings over two to three years</w:t>
      </w:r>
      <w:r>
        <w:t xml:space="preserve">, primarily from organizational simplification, fewer management layers, AI-enabled customer support and development, automation, and vendor rationalization. (</w:t>
      </w:r>
      <w:hyperlink r:id="rId18">
        <w:r>
          <w:rPr>
            <w:rStyle w:val="Hyperlink"/>
          </w:rPr>
          <w:t xml:space="preserve">about.pypl.com</w:t>
        </w:r>
      </w:hyperlink>
      <w:r>
        <w:t xml:space="preserve">)</w:t>
      </w:r>
    </w:p>
    <w:p>
      <w:pPr>
        <w:pStyle w:val="BodyText"/>
      </w:pPr>
      <w:r>
        <w:t xml:space="preserve">The unanswered question is how much of those savings will reach shareholders.</w:t>
      </w:r>
    </w:p>
    <w:p>
      <w:pPr>
        <w:pStyle w:val="BodyText"/>
      </w:pPr>
      <w:r>
        <w:t xml:space="preserve">Management has said a portion will be reinvested in technology, consumer engagement and growth. Investors therefore need a bridge among:</w:t>
      </w:r>
    </w:p>
    <w:p>
      <w:pPr>
        <w:pStyle w:val="Compact"/>
        <w:numPr>
          <w:ilvl w:val="0"/>
          <w:numId w:val="1010"/>
        </w:numPr>
      </w:pPr>
      <w:r>
        <w:t xml:space="preserve">Gross savings</w:t>
      </w:r>
    </w:p>
    <w:p>
      <w:pPr>
        <w:pStyle w:val="Compact"/>
        <w:numPr>
          <w:ilvl w:val="0"/>
          <w:numId w:val="1010"/>
        </w:numPr>
      </w:pPr>
      <w:r>
        <w:t xml:space="preserve">Restructuring costs</w:t>
      </w:r>
    </w:p>
    <w:p>
      <w:pPr>
        <w:pStyle w:val="Compact"/>
        <w:numPr>
          <w:ilvl w:val="0"/>
          <w:numId w:val="1010"/>
        </w:numPr>
      </w:pPr>
      <w:r>
        <w:t xml:space="preserve">Reinvestment</w:t>
      </w:r>
    </w:p>
    <w:p>
      <w:pPr>
        <w:pStyle w:val="Compact"/>
        <w:numPr>
          <w:ilvl w:val="0"/>
          <w:numId w:val="1010"/>
        </w:numPr>
      </w:pPr>
      <w:r>
        <w:t xml:space="preserve">Net operating-income benefit</w:t>
      </w:r>
    </w:p>
    <w:p>
      <w:pPr>
        <w:pStyle w:val="Compact"/>
        <w:numPr>
          <w:ilvl w:val="0"/>
          <w:numId w:val="1010"/>
        </w:numPr>
      </w:pPr>
      <w:r>
        <w:t xml:space="preserve">Timing by year</w:t>
      </w:r>
    </w:p>
    <w:p>
      <w:pPr>
        <w:pStyle w:val="Compact"/>
        <w:numPr>
          <w:ilvl w:val="0"/>
          <w:numId w:val="1010"/>
        </w:numPr>
      </w:pPr>
      <w:r>
        <w:t xml:space="preserve">Longer-term margin targets</w:t>
      </w:r>
    </w:p>
    <w:p>
      <w:pPr>
        <w:pStyle w:val="FirstParagraph"/>
      </w:pPr>
      <w:r>
        <w:t xml:space="preserve">A detailed savings cadence could matter more to the stock than a few cents of Q2 EPS upside. Conversely, another promise of large gross savings without a net margin framework could reinforce skepticism.</w:t>
      </w:r>
    </w:p>
    <w:p>
      <w:r>
        <w:pict>
          <v:rect style="width:0;height:1.5pt" o:hralign="center" o:hrstd="t" o:hr="t"/>
        </w:pict>
      </w:r>
    </w:p>
    <w:bookmarkEnd w:id="19"/>
    <w:bookmarkStart w:id="22" w:name="Xdbca5f13bd0f385d25f371716373f91ad318127"/>
    <w:p>
      <w:pPr>
        <w:pStyle w:val="Heading2"/>
      </w:pPr>
      <w:r>
        <w:t xml:space="preserve">5. Full-year guidance is the real earnings test</w:t>
      </w:r>
    </w:p>
    <w:p>
      <w:pPr>
        <w:pStyle w:val="FirstParagraph"/>
      </w:pPr>
      <w:r>
        <w:t xml:space="preserve">PayPal’s existing 2026 framework calls for:</w:t>
      </w:r>
    </w:p>
    <w:p>
      <w:pPr>
        <w:pStyle w:val="Compact"/>
        <w:numPr>
          <w:ilvl w:val="0"/>
          <w:numId w:val="1011"/>
        </w:numPr>
      </w:pPr>
      <w:r>
        <w:t xml:space="preserve">Transaction-margin dollars excluding balance interest:</w:t>
      </w:r>
      <w:r>
        <w:t xml:space="preserve"> </w:t>
      </w:r>
      <w:r>
        <w:rPr>
          <w:b/>
          <w:bCs/>
        </w:rPr>
        <w:t xml:space="preserve">slight decline to approximately flat</w:t>
      </w:r>
    </w:p>
    <w:p>
      <w:pPr>
        <w:pStyle w:val="Compact"/>
        <w:numPr>
          <w:ilvl w:val="0"/>
          <w:numId w:val="1011"/>
        </w:numPr>
      </w:pPr>
      <w:r>
        <w:t xml:space="preserve">Non-transaction operating expenses: approximately</w:t>
      </w:r>
      <w:r>
        <w:t xml:space="preserve"> </w:t>
      </w:r>
      <w:r>
        <w:rPr>
          <w:b/>
          <w:bCs/>
        </w:rPr>
        <w:t xml:space="preserve">+3%</w:t>
      </w:r>
    </w:p>
    <w:p>
      <w:pPr>
        <w:pStyle w:val="Compact"/>
        <w:numPr>
          <w:ilvl w:val="0"/>
          <w:numId w:val="1011"/>
        </w:numPr>
      </w:pPr>
      <w:r>
        <w:t xml:space="preserve">Non-GAAP EPS:</w:t>
      </w:r>
      <w:r>
        <w:t xml:space="preserve"> </w:t>
      </w:r>
      <w:r>
        <w:rPr>
          <w:b/>
          <w:bCs/>
        </w:rPr>
        <w:t xml:space="preserve">low-single-digit decline to slightly positive</w:t>
      </w:r>
    </w:p>
    <w:p>
      <w:pPr>
        <w:pStyle w:val="Compact"/>
        <w:numPr>
          <w:ilvl w:val="0"/>
          <w:numId w:val="1011"/>
        </w:numPr>
      </w:pPr>
      <w:r>
        <w:t xml:space="preserve">Adjusted free cash flow:</w:t>
      </w:r>
      <w:r>
        <w:t xml:space="preserve"> </w:t>
      </w:r>
      <w:r>
        <w:rPr>
          <w:b/>
          <w:bCs/>
        </w:rPr>
        <w:t xml:space="preserve">at least $6 billion</w:t>
      </w:r>
    </w:p>
    <w:p>
      <w:pPr>
        <w:pStyle w:val="Compact"/>
        <w:numPr>
          <w:ilvl w:val="0"/>
          <w:numId w:val="1011"/>
        </w:numPr>
      </w:pPr>
      <w:r>
        <w:t xml:space="preserve">Share repurchases: approximately</w:t>
      </w:r>
      <w:r>
        <w:t xml:space="preserve"> </w:t>
      </w:r>
      <w:r>
        <w:rPr>
          <w:b/>
          <w:bCs/>
        </w:rPr>
        <w:t xml:space="preserve">$6 billion</w:t>
      </w:r>
    </w:p>
    <w:p>
      <w:pPr>
        <w:pStyle w:val="FirstParagraph"/>
      </w:pPr>
      <w:r>
        <w:t xml:space="preserve">At minimum, investors will expect this guidance to be reiterated. PayPal beat Q1 consensus expectations but the stock declined sharply because weak Q2 guidance outweighed the headline beat.</w:t>
      </w:r>
    </w:p>
    <w:bookmarkStart w:id="20" w:name="positive-guidance-outcome"/>
    <w:p>
      <w:pPr>
        <w:pStyle w:val="Heading3"/>
      </w:pPr>
      <w:r>
        <w:t xml:space="preserve">Positive guidance outcome</w:t>
      </w:r>
    </w:p>
    <w:p>
      <w:pPr>
        <w:pStyle w:val="Compact"/>
        <w:numPr>
          <w:ilvl w:val="0"/>
          <w:numId w:val="1012"/>
        </w:numPr>
      </w:pPr>
      <w:r>
        <w:t xml:space="preserve">Full-year guidance reaffirmed with confidence</w:t>
      </w:r>
    </w:p>
    <w:p>
      <w:pPr>
        <w:pStyle w:val="Compact"/>
        <w:numPr>
          <w:ilvl w:val="0"/>
          <w:numId w:val="1012"/>
        </w:numPr>
      </w:pPr>
      <w:r>
        <w:t xml:space="preserve">Q2 results above the company’s deliberately weak guide</w:t>
      </w:r>
    </w:p>
    <w:p>
      <w:pPr>
        <w:pStyle w:val="Compact"/>
        <w:numPr>
          <w:ilvl w:val="0"/>
          <w:numId w:val="1012"/>
        </w:numPr>
      </w:pPr>
      <w:r>
        <w:t xml:space="preserve">Second-half transaction-margin growth expected to turn positive</w:t>
      </w:r>
    </w:p>
    <w:p>
      <w:pPr>
        <w:pStyle w:val="Compact"/>
        <w:numPr>
          <w:ilvl w:val="0"/>
          <w:numId w:val="1012"/>
        </w:numPr>
      </w:pPr>
      <w:r>
        <w:t xml:space="preserve">Branded checkout stable or improving</w:t>
      </w:r>
    </w:p>
    <w:p>
      <w:pPr>
        <w:pStyle w:val="Compact"/>
        <w:numPr>
          <w:ilvl w:val="0"/>
          <w:numId w:val="1012"/>
        </w:numPr>
      </w:pPr>
      <w:r>
        <w:t xml:space="preserve">More concrete cost savings beginning in late 2026 or 2027</w:t>
      </w:r>
    </w:p>
    <w:bookmarkEnd w:id="20"/>
    <w:bookmarkStart w:id="21" w:name="negative-guidance-outcome"/>
    <w:p>
      <w:pPr>
        <w:pStyle w:val="Heading3"/>
      </w:pPr>
      <w:r>
        <w:t xml:space="preserve">Negative guidance outcome</w:t>
      </w:r>
    </w:p>
    <w:p>
      <w:pPr>
        <w:pStyle w:val="Compact"/>
        <w:numPr>
          <w:ilvl w:val="0"/>
          <w:numId w:val="1013"/>
        </w:numPr>
      </w:pPr>
      <w:r>
        <w:t xml:space="preserve">EPS outlook lowered</w:t>
      </w:r>
    </w:p>
    <w:p>
      <w:pPr>
        <w:pStyle w:val="Compact"/>
        <w:numPr>
          <w:ilvl w:val="0"/>
          <w:numId w:val="1013"/>
        </w:numPr>
      </w:pPr>
      <w:r>
        <w:t xml:space="preserve">Branded-checkout expectation reduced</w:t>
      </w:r>
    </w:p>
    <w:p>
      <w:pPr>
        <w:pStyle w:val="Compact"/>
        <w:numPr>
          <w:ilvl w:val="0"/>
          <w:numId w:val="1013"/>
        </w:numPr>
      </w:pPr>
      <w:r>
        <w:t xml:space="preserve">Increased spending without a better growth trajectory</w:t>
      </w:r>
    </w:p>
    <w:p>
      <w:pPr>
        <w:pStyle w:val="Compact"/>
        <w:numPr>
          <w:ilvl w:val="0"/>
          <w:numId w:val="1013"/>
        </w:numPr>
      </w:pPr>
      <w:r>
        <w:t xml:space="preserve">Transaction-margin pressure extending into 2027</w:t>
      </w:r>
    </w:p>
    <w:p>
      <w:pPr>
        <w:pStyle w:val="Compact"/>
        <w:numPr>
          <w:ilvl w:val="0"/>
          <w:numId w:val="1013"/>
        </w:numPr>
      </w:pPr>
      <w:r>
        <w:t xml:space="preserve">Weaker adjusted free-cash-flow outlook</w:t>
      </w:r>
    </w:p>
    <w:p>
      <w:pPr>
        <w:pStyle w:val="FirstParagraph"/>
      </w:pPr>
      <w:r>
        <w:t xml:space="preserve">Because buybacks are reducing the diluted share count substantially, investors should distinguish between</w:t>
      </w:r>
      <w:r>
        <w:t xml:space="preserve"> </w:t>
      </w:r>
      <w:r>
        <w:rPr>
          <w:b/>
          <w:bCs/>
        </w:rPr>
        <w:t xml:space="preserve">EPS stabilization</w:t>
      </w:r>
      <w:r>
        <w:t xml:space="preserve"> </w:t>
      </w:r>
      <w:r>
        <w:t xml:space="preserve">and genuine improvement in operating profit.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4" w:name="Xe1816103d4fb00284a6ec17cdcd145f0c63ddc4"/>
    <w:p>
      <w:pPr>
        <w:pStyle w:val="Heading2"/>
      </w:pPr>
      <w:r>
        <w:t xml:space="preserve">6. The takeover proposal changes the stock’s risk/reward</w:t>
      </w:r>
    </w:p>
    <w:p>
      <w:pPr>
        <w:pStyle w:val="FirstParagraph"/>
      </w:pPr>
      <w:r>
        <w:t xml:space="preserve">Stripe and Advent reportedly offered</w:t>
      </w:r>
      <w:r>
        <w:t xml:space="preserve"> </w:t>
      </w:r>
      <w:r>
        <w:rPr>
          <w:b/>
          <w:bCs/>
        </w:rPr>
        <w:t xml:space="preserve">$60.50 per share</w:t>
      </w:r>
      <w:r>
        <w:t xml:space="preserve">, valuing PayPal at more than $53 billion, with approximately $50 billion of committed financing. PayPal’s board reportedly views the offer as inadequate and is concerned about financing and regulatory hurdles; PayPal has not publicly confirmed a transaction. (</w:t>
      </w:r>
      <w:hyperlink r:id="rId23">
        <w:r>
          <w:rPr>
            <w:rStyle w:val="Hyperlink"/>
          </w:rPr>
          <w:t xml:space="preserve">investing.com</w:t>
        </w:r>
      </w:hyperlink>
      <w:r>
        <w:t xml:space="preserve">)</w:t>
      </w:r>
    </w:p>
    <w:p>
      <w:pPr>
        <w:pStyle w:val="BodyText"/>
      </w:pPr>
      <w:r>
        <w:t xml:space="preserve">At the July 27 close of $56.09:</w:t>
      </w:r>
    </w:p>
    <w:p>
      <w:pPr>
        <w:pStyle w:val="Compact"/>
        <w:numPr>
          <w:ilvl w:val="0"/>
          <w:numId w:val="1014"/>
        </w:numPr>
      </w:pPr>
      <w:r>
        <w:t xml:space="preserve">Upside to the reported offer: approximately</w:t>
      </w:r>
      <w:r>
        <w:t xml:space="preserve"> </w:t>
      </w:r>
      <w:r>
        <w:rPr>
          <w:b/>
          <w:bCs/>
        </w:rPr>
        <w:t xml:space="preserve">7.9%</w:t>
      </w:r>
    </w:p>
    <w:p>
      <w:pPr>
        <w:pStyle w:val="Compact"/>
        <w:numPr>
          <w:ilvl w:val="0"/>
          <w:numId w:val="1014"/>
        </w:numPr>
      </w:pPr>
      <w:r>
        <w:t xml:space="preserve">The stock trades roughly</w:t>
      </w:r>
      <w:r>
        <w:t xml:space="preserve"> </w:t>
      </w:r>
      <w:r>
        <w:rPr>
          <w:b/>
          <w:bCs/>
        </w:rPr>
        <w:t xml:space="preserve">10.5 times</w:t>
      </w:r>
      <w:r>
        <w:t xml:space="preserve"> </w:t>
      </w:r>
      <w:r>
        <w:t xml:space="preserve">the current 2026 adjusted-EPS consensus of about $5.32.</w:t>
      </w:r>
    </w:p>
    <w:p>
      <w:pPr>
        <w:pStyle w:val="Compact"/>
        <w:numPr>
          <w:ilvl w:val="0"/>
          <w:numId w:val="1014"/>
        </w:numPr>
      </w:pPr>
      <w:r>
        <w:t xml:space="preserve">PYPL closed at $47.37 immediately before the takeover report, about</w:t>
      </w:r>
      <w:r>
        <w:t xml:space="preserve"> </w:t>
      </w:r>
      <w:r>
        <w:rPr>
          <w:b/>
          <w:bCs/>
        </w:rPr>
        <w:t xml:space="preserve">15.5% below</w:t>
      </w:r>
      <w:r>
        <w:t xml:space="preserve"> </w:t>
      </w:r>
      <w:r>
        <w:t xml:space="preserve">its current price.</w:t>
      </w:r>
    </w:p>
    <w:p>
      <w:pPr>
        <w:pStyle w:val="FirstParagraph"/>
      </w:pPr>
      <w:r>
        <w:t xml:space="preserve">This creates an unusual setup: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Strong earnings</w:t>
      </w:r>
      <w:r>
        <w:t xml:space="preserve"> </w:t>
      </w:r>
      <w:r>
        <w:t xml:space="preserve">strengthen PayPal’s argument that $60.50 undervalues the company and could support a higher proposal.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Weak earnings</w:t>
      </w:r>
      <w:r>
        <w:t xml:space="preserve"> </w:t>
      </w:r>
      <w:r>
        <w:t xml:space="preserve">may increase shareholder pressure on the board to engage, but could also reduce a bidder’s willingness to raise its price.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No deal progress</w:t>
      </w:r>
      <w:r>
        <w:t xml:space="preserve"> </w:t>
      </w:r>
      <w:r>
        <w:t xml:space="preserve">could return investor attention to a slow organic turnaround and expose some of the takeover premium.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A higher bid or formal negotiations</w:t>
      </w:r>
      <w:r>
        <w:t xml:space="preserve"> </w:t>
      </w:r>
      <w:r>
        <w:t xml:space="preserve">would dominate the quarterly fundamentals.</w:t>
      </w:r>
    </w:p>
    <w:p>
      <w:pPr>
        <w:pStyle w:val="FirstParagraph"/>
      </w:pPr>
      <w:r>
        <w:t xml:space="preserve">Management may decline to address market speculation. Investors should therefore watch for changes in capital allocation, strategic-review language, unusual limits on buybacks, or comments about maximizing shareholder value.</w:t>
      </w:r>
    </w:p>
    <w:p>
      <w:r>
        <w:pict>
          <v:rect style="width:0;height:1.5pt" o:hralign="center" o:hrstd="t" o:hr="t"/>
        </w:pict>
      </w:r>
    </w:p>
    <w:bookmarkEnd w:id="24"/>
    <w:bookmarkStart w:id="25" w:name="earnings-day-scenario-analysis"/>
    <w:p>
      <w:pPr>
        <w:pStyle w:val="Heading2"/>
      </w:pPr>
      <w:r>
        <w:t xml:space="preserve">Earnings-day scenario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Scenario</w:t>
            </w:r>
          </w:p>
        </w:tc>
        <w:tc>
          <w:tcPr/>
          <w:p>
            <w:pPr>
              <w:pStyle w:val="Compact"/>
            </w:pPr>
            <w:r>
              <w:t xml:space="preserve">What it likely looks like</w:t>
            </w:r>
          </w:p>
        </w:tc>
        <w:tc>
          <w:tcPr/>
          <w:p>
            <w:pPr>
              <w:pStyle w:val="Compact"/>
            </w:pPr>
            <w:r>
              <w:t xml:space="preserve">Probable interpretation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Bull case</w:t>
            </w:r>
          </w:p>
        </w:tc>
        <w:tc>
          <w:tcPr/>
          <w:p>
            <w:pPr>
              <w:pStyle w:val="Compact"/>
            </w:pPr>
            <w:r>
              <w:t xml:space="preserve">EPS and TM-dollar beat; branded growth stable/improving; FY guide maintained or raised; concrete cost cadence; constructive strategic language</w:t>
            </w:r>
          </w:p>
        </w:tc>
        <w:tc>
          <w:tcPr/>
          <w:p>
            <w:pPr>
              <w:pStyle w:val="Compact"/>
            </w:pPr>
            <w:r>
              <w:t xml:space="preserve">Turnaround credibility improves and a higher takeover price becomes easier to justify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 case</w:t>
            </w:r>
          </w:p>
        </w:tc>
        <w:tc>
          <w:tcPr/>
          <w:p>
            <w:pPr>
              <w:pStyle w:val="Compact"/>
            </w:pPr>
            <w:r>
              <w:t xml:space="preserve">Revenue/EPS near consensus; branded growth around low single digits; FY guide reiterated; limited takeover commentary</w:t>
            </w:r>
          </w:p>
        </w:tc>
        <w:tc>
          <w:tcPr/>
          <w:p>
            <w:pPr>
              <w:pStyle w:val="Compact"/>
            </w:pPr>
            <w:r>
              <w:t xml:space="preserve">Stock remains anchored between standalone valuation and the reported $60.50 offer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Bear case</w:t>
            </w:r>
          </w:p>
        </w:tc>
        <w:tc>
          <w:tcPr/>
          <w:p>
            <w:pPr>
              <w:pStyle w:val="Compact"/>
            </w:pPr>
            <w:r>
              <w:t xml:space="preserve">Branded growth near zero/negative; TM dollars miss; guidance cut; vague cost details; no deal progress</w:t>
            </w:r>
          </w:p>
        </w:tc>
        <w:tc>
          <w:tcPr/>
          <w:p>
            <w:pPr>
              <w:pStyle w:val="Compact"/>
            </w:pPr>
            <w:r>
              <w:t xml:space="preserve">Takeover premium at risk and standalone valuation returns to focus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Deal-driven upside</w:t>
            </w:r>
          </w:p>
        </w:tc>
        <w:tc>
          <w:tcPr/>
          <w:p>
            <w:pPr>
              <w:pStyle w:val="Compact"/>
            </w:pPr>
            <w:r>
              <w:t xml:space="preserve">Formal engagement, improved proposal or another bidder emerges</w:t>
            </w:r>
          </w:p>
        </w:tc>
        <w:tc>
          <w:tcPr/>
          <w:p>
            <w:pPr>
              <w:pStyle w:val="Compact"/>
            </w:pPr>
            <w:r>
              <w:t xml:space="preserve">Fundamentals become secondary to transaction probability and price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5"/>
    <w:bookmarkStart w:id="26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The expected Q2 EPS decline is already well signaled. The report should be judged primarily on four questions: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Has branded checkout stabilized?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Can transaction-margin dollars improve despite unfavorable mix and elevated investment?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Will the $1.5 billion savings program produce a measurable net earnings benefit?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Does management’s tone suggest the reported $60.50 proposal is a floor, an opening bid, or a distraction?</w:t>
      </w:r>
    </w:p>
    <w:p>
      <w:pPr>
        <w:pStyle w:val="FirstParagraph"/>
      </w:pPr>
      <w:r>
        <w:t xml:space="preserve">A routine beat and reaffirm probably will not be enough for a decisive rerating. For sustained upside, PayPal needs either</w:t>
      </w:r>
      <w:r>
        <w:t xml:space="preserve"> </w:t>
      </w:r>
      <w:r>
        <w:rPr>
          <w:b/>
          <w:bCs/>
        </w:rPr>
        <w:t xml:space="preserve">clear evidence that its core franchise is improving</w:t>
      </w:r>
      <w:r>
        <w:t xml:space="preserve"> </w:t>
      </w:r>
      <w:r>
        <w:t xml:space="preserve">or</w:t>
      </w:r>
      <w:r>
        <w:t xml:space="preserve"> </w:t>
      </w:r>
      <w:r>
        <w:rPr>
          <w:b/>
          <w:bCs/>
        </w:rPr>
        <w:t xml:space="preserve">a credible path to a transaction above the reported offer price</w:t>
      </w:r>
      <w:r>
        <w:t xml:space="preserve">.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https://about.pypl.com/news-details/2026/PayPal-Announces-Strategic-Reorganization-to-Accelerate-Growth/default.aspx?utm_source=openai" TargetMode="External" /><Relationship Type="http://schemas.openxmlformats.org/officeDocument/2006/relationships/hyperlink" Id="rId23" Target="https://www.investing.com/news/stock-market-news/how-paypal-went-from-wall-street-favorite-to-unwilling-merger-target-4800279?utm_source=openai" TargetMode="External" /><Relationship Type="http://schemas.openxmlformats.org/officeDocument/2006/relationships/hyperlink" Id="rId11" Target="https://www.sec.gov/Archives/edgar/data/1633917/000163391726000065/pypl1q-26earningsrelease.htm?utm_source=openai" TargetMode="External" /><Relationship Type="http://schemas.openxmlformats.org/officeDocument/2006/relationships/hyperlink" Id="rId10" Target="https://www.zacks.com/stock/news/2960615/paypal-to-report-q2-earnings-what-should-investors-do?utm_source=opena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https://about.pypl.com/news-details/2026/PayPal-Announces-Strategic-Reorganization-to-Accelerate-Growth/default.aspx?utm_source=openai" TargetMode="External" /><Relationship Type="http://schemas.openxmlformats.org/officeDocument/2006/relationships/hyperlink" Id="rId23" Target="https://www.investing.com/news/stock-market-news/how-paypal-went-from-wall-street-favorite-to-unwilling-merger-target-4800279?utm_source=openai" TargetMode="External" /><Relationship Type="http://schemas.openxmlformats.org/officeDocument/2006/relationships/hyperlink" Id="rId11" Target="https://www.sec.gov/Archives/edgar/data/1633917/000163391726000065/pypl1q-26earningsrelease.htm?utm_source=openai" TargetMode="External" /><Relationship Type="http://schemas.openxmlformats.org/officeDocument/2006/relationships/hyperlink" Id="rId10" Target="https://www.zacks.com/stock/news/2960615/paypal-to-report-q2-earnings-what-should-investors-do?utm_source=opena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2026-07-28T00:06:09Z</dcterms:created>
  <dcterms:modified xsi:type="dcterms:W3CDTF">2026-07-28T00:06:09Z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