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paypal-pypl--2q26-earnings-preview"/>
    <w:p>
      <w:pPr>
        <w:pStyle w:val="Heading1"/>
      </w:pPr>
      <w:r>
        <w:t xml:space="preserve">PayPal (PYPL) — 2Q26 Earnings Preview</w:t>
      </w:r>
    </w:p>
    <w:p>
      <w:pPr>
        <w:pStyle w:val="FirstParagraph"/>
      </w:pPr>
      <w:r>
        <w:rPr>
          <w:b/>
          <w:bCs/>
        </w:rPr>
        <w:t xml:space="preserve">Report date:</w:t>
      </w:r>
      <w:r>
        <w:t xml:space="preserve"> </w:t>
      </w:r>
      <w:r>
        <w:t xml:space="preserve">Tuesday, July 28, 2026</w:t>
      </w:r>
      <w:r>
        <w:br/>
      </w:r>
      <w:r>
        <w:rPr>
          <w:b/>
          <w:bCs/>
        </w:rPr>
        <w:t xml:space="preserve">Event:</w:t>
      </w:r>
      <w:r>
        <w:t xml:space="preserve"> </w:t>
      </w:r>
      <w:r>
        <w:t xml:space="preserve">2Q26 Earnings Call</w:t>
      </w:r>
      <w:r>
        <w:br/>
      </w:r>
      <w:r>
        <w:rPr>
          <w:b/>
          <w:bCs/>
        </w:rPr>
        <w:t xml:space="preserve">Core setup:</w:t>
      </w:r>
      <w:r>
        <w:t xml:space="preserve"> </w:t>
      </w:r>
      <w:r>
        <w:t xml:space="preserve">This is less a “beat-or-miss” quarter than a test of whether PayPal’s new leadership can stabilize branded checkout while protecting transaction-margin dollars during a deliberately investment-heavy and unusually difficult comparison period.</w:t>
      </w:r>
    </w:p>
    <w:bookmarkStart w:id="10" w:name="what-matters-most"/>
    <w:p>
      <w:pPr>
        <w:pStyle w:val="Heading2"/>
      </w:pPr>
      <w:r>
        <w:t xml:space="preserve">What matters most</w:t>
      </w:r>
    </w:p>
    <w:bookmarkStart w:id="9" w:name="X1c6d3c262b9006fc20313e590ffb50c142b4423"/>
    <w:p>
      <w:pPr>
        <w:pStyle w:val="Heading3"/>
      </w:pPr>
      <w:r>
        <w:t xml:space="preserve">1. Branded checkout: the key operating KPI</w:t>
      </w:r>
    </w:p>
    <w:p>
      <w:pPr>
        <w:pStyle w:val="FirstParagraph"/>
      </w:pPr>
      <w:r>
        <w:t xml:space="preserve">PayPal entered 2Q guiding to</w:t>
      </w:r>
      <w:r>
        <w:t xml:space="preserve"> </w:t>
      </w:r>
      <w:r>
        <w:rPr>
          <w:b/>
          <w:bCs/>
        </w:rPr>
        <w:t xml:space="preserve">slightly positive to low-single-digit FX-neutral online branded-checkout TPV growth</w:t>
      </w:r>
      <w:r>
        <w:t xml:space="preserve"> </w:t>
      </w:r>
      <w:r>
        <w:t xml:space="preserve">for 2026, but said quarter-to-date trends were tracking toward the</w:t>
      </w:r>
      <w:r>
        <w:t xml:space="preserve"> </w:t>
      </w:r>
      <w:r>
        <w:rPr>
          <w:b/>
          <w:bCs/>
        </w:rPr>
        <w:t xml:space="preserve">low end</w:t>
      </w:r>
      <w:r>
        <w:t xml:space="preserve"> </w:t>
      </w:r>
      <w:r>
        <w:t xml:space="preserve">of that range. In 1Q, branded checkout TPV grew just</w:t>
      </w:r>
      <w:r>
        <w:t xml:space="preserve"> </w:t>
      </w:r>
      <w:r>
        <w:rPr>
          <w:b/>
          <w:bCs/>
        </w:rPr>
        <w:t xml:space="preserve">2% FX-neutral</w:t>
      </w:r>
      <w:r>
        <w:t xml:space="preserve">, after modest improvement from 4Q, while management flagged slower travel activity and softer European trends—particularly in the U.K. and Germany.</w:t>
      </w:r>
    </w:p>
    <w:p>
      <w:pPr>
        <w:pStyle w:val="BodyText"/>
      </w:pPr>
      <w:r>
        <w:t xml:space="preserve">The most important question on the call is therefore not merely whether total TPV grows: it is whether branded checkout has</w:t>
      </w:r>
      <w:r>
        <w:t xml:space="preserve"> </w:t>
      </w:r>
      <w:r>
        <w:rPr>
          <w:b/>
          <w:bCs/>
        </w:rPr>
        <w:t xml:space="preserve">held, improved, or deteriorated</w:t>
      </w:r>
      <w:r>
        <w:t xml:space="preserve"> </w:t>
      </w:r>
      <w:r>
        <w:t xml:space="preserve">from that 2% growth rate.</w:t>
      </w:r>
    </w:p>
    <w:p>
      <w:pPr>
        <w:pStyle w:val="BodyText"/>
      </w:pPr>
      <w:r>
        <w:rPr>
          <w:b/>
          <w:bCs/>
        </w:rPr>
        <w:t xml:space="preserve">What investors should watch</w:t>
      </w:r>
    </w:p>
    <w:p>
      <w:pPr>
        <w:pStyle w:val="Compact"/>
        <w:numPr>
          <w:ilvl w:val="0"/>
          <w:numId w:val="1001"/>
        </w:numPr>
      </w:pPr>
      <w:r>
        <w:t xml:space="preserve">Online branded-checkout TPV growth, especially U.S. versus Europe.</w:t>
      </w:r>
    </w:p>
    <w:p>
      <w:pPr>
        <w:pStyle w:val="Compact"/>
        <w:numPr>
          <w:ilvl w:val="0"/>
          <w:numId w:val="1001"/>
        </w:numPr>
      </w:pPr>
      <w:r>
        <w:t xml:space="preserve">Evidence that better checkout presentment, simplified checkout, rewards/loyalty, BNPL, and Pay with Venmo are translating into sustained share gains.</w:t>
      </w:r>
    </w:p>
    <w:p>
      <w:pPr>
        <w:pStyle w:val="Compact"/>
        <w:numPr>
          <w:ilvl w:val="0"/>
          <w:numId w:val="1001"/>
        </w:numPr>
      </w:pPr>
      <w:r>
        <w:t xml:space="preserve">Commentary on travel, consumer spending, European competition, and merchant conversion.</w:t>
      </w:r>
    </w:p>
    <w:p>
      <w:pPr>
        <w:pStyle w:val="Compact"/>
        <w:numPr>
          <w:ilvl w:val="0"/>
          <w:numId w:val="1001"/>
        </w:numPr>
      </w:pPr>
      <w:r>
        <w:t xml:space="preserve">Progress expanding the simplified-pay experience; management said in May that</w:t>
      </w:r>
      <w:r>
        <w:t xml:space="preserve"> </w:t>
      </w:r>
      <w:r>
        <w:rPr>
          <w:b/>
          <w:bCs/>
        </w:rPr>
        <w:t xml:space="preserve">45% of non-vaulted customers</w:t>
      </w:r>
      <w:r>
        <w:t xml:space="preserve"> </w:t>
      </w:r>
      <w:r>
        <w:t xml:space="preserve">were experiencing it.</w:t>
      </w:r>
    </w:p>
    <w:p>
      <w:pPr>
        <w:pStyle w:val="FirstParagraph"/>
      </w:pPr>
      <w:r>
        <w:t xml:space="preserve">A branded-checkout result that remains near flat would reinforce the central bear case: that PayPal’s large network is not yet converting product investment into materially better consumer engagement. Conversely, a clear acceleration would be the most credible early validation of CEO Enrique Lores’ consumer-first reset.</w:t>
      </w:r>
    </w:p>
    <w:bookmarkEnd w:id="9"/>
    <w:bookmarkEnd w:id="10"/>
    <w:bookmarkStart w:id="11" w:name="Xa672da5005f189d3682cb78c1e94ecfcd669558"/>
    <w:p>
      <w:pPr>
        <w:pStyle w:val="Heading2"/>
      </w:pPr>
      <w:r>
        <w:t xml:space="preserve">The formal 2Q26 guide sets a low earnings bar—but a demanding quality bar</w:t>
      </w:r>
    </w:p>
    <w:p>
      <w:pPr>
        <w:pStyle w:val="FirstParagraph"/>
      </w:pPr>
      <w:r>
        <w:t xml:space="preserve">Management’s 2Q outlook, provided with 1Q results, calls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jc w:val="right"/>
            </w:pPr>
            <w:r>
              <w:t xml:space="preserve">2Q25 actual base</w:t>
            </w:r>
          </w:p>
        </w:tc>
      </w:tr>
      <w:tr>
        <w:tc>
          <w:tcPr/>
          <w:p>
            <w:pPr>
              <w:pStyle w:val="Compact"/>
            </w:pPr>
            <w:r>
              <w:t xml:space="preserve">FX-neutral revenue growth</w:t>
            </w:r>
          </w:p>
        </w:tc>
        <w:tc>
          <w:tcPr/>
          <w:p>
            <w:pPr>
              <w:pStyle w:val="Compact"/>
              <w:jc w:val="right"/>
            </w:pPr>
            <w:r>
              <w:t xml:space="preserve">Low single digits</w:t>
            </w:r>
          </w:p>
        </w:tc>
        <w:tc>
          <w:tcPr/>
          <w:p>
            <w:pPr>
              <w:pStyle w:val="Compact"/>
              <w:jc w:val="right"/>
            </w:pPr>
            <w:r>
              <w:t xml:space="preserve">Revenue:</w:t>
            </w:r>
            <w:r>
              <w:t xml:space="preserve"> </w:t>
            </w:r>
            <w:r>
              <w:rPr>
                <w:b/>
                <w:bCs/>
              </w:rPr>
              <w:t xml:space="preserve">$8.29B</w:t>
            </w:r>
          </w:p>
        </w:tc>
      </w:tr>
      <w:tr>
        <w:tc>
          <w:tcPr/>
          <w:p>
            <w:pPr>
              <w:pStyle w:val="Compact"/>
            </w:pPr>
            <w:r>
              <w:t xml:space="preserve">Transaction-margin dollars (TM$)</w:t>
            </w:r>
          </w:p>
        </w:tc>
        <w:tc>
          <w:tcPr/>
          <w:p>
            <w:pPr>
              <w:pStyle w:val="Compact"/>
              <w:jc w:val="right"/>
            </w:pPr>
            <w:r>
              <w:t xml:space="preserve">Down ~3%</w:t>
            </w:r>
          </w:p>
        </w:tc>
        <w:tc>
          <w:tcPr/>
          <w:p>
            <w:pPr>
              <w:pStyle w:val="Compact"/>
              <w:jc w:val="right"/>
            </w:pPr>
            <w:r>
              <w:rPr>
                <w:b/>
                <w:bCs/>
              </w:rPr>
              <w:t xml:space="preserve">$3.84B</w:t>
            </w:r>
          </w:p>
        </w:tc>
      </w:tr>
      <w:tr>
        <w:tc>
          <w:tcPr/>
          <w:p>
            <w:pPr>
              <w:pStyle w:val="Compact"/>
            </w:pPr>
            <w:r>
              <w:t xml:space="preserve">TM$ ex-interest on customer balances</w:t>
            </w:r>
          </w:p>
        </w:tc>
        <w:tc>
          <w:tcPr/>
          <w:p>
            <w:pPr>
              <w:pStyle w:val="Compact"/>
              <w:jc w:val="right"/>
            </w:pPr>
            <w:r>
              <w:t xml:space="preserve">Down ~2%</w:t>
            </w:r>
          </w:p>
        </w:tc>
        <w:tc>
          <w:tcPr/>
          <w:p>
            <w:pPr>
              <w:pStyle w:val="Compact"/>
              <w:jc w:val="right"/>
            </w:pPr>
            <w:r>
              <w:rPr>
                <w:b/>
                <w:bCs/>
              </w:rPr>
              <w:t xml:space="preserve">$3.53B</w:t>
            </w:r>
          </w:p>
        </w:tc>
      </w:tr>
      <w:tr>
        <w:tc>
          <w:tcPr/>
          <w:p>
            <w:pPr>
              <w:pStyle w:val="Compact"/>
            </w:pPr>
            <w:r>
              <w:t xml:space="preserve">Non-transaction operating expense</w:t>
            </w:r>
          </w:p>
        </w:tc>
        <w:tc>
          <w:tcPr/>
          <w:p>
            <w:pPr>
              <w:pStyle w:val="Compact"/>
              <w:jc w:val="right"/>
            </w:pPr>
            <w:r>
              <w:t xml:space="preserve">Mid-single-digit growth</w:t>
            </w:r>
          </w:p>
        </w:tc>
        <w:tc>
          <w:tcPr/>
          <w:p>
            <w:pPr>
              <w:pStyle w:val="Compact"/>
              <w:jc w:val="right"/>
            </w:pPr>
            <w:r>
              <w:t xml:space="preserve">—</w:t>
            </w:r>
          </w:p>
        </w:tc>
      </w:tr>
      <w:tr>
        <w:tc>
          <w:tcPr/>
          <w:p>
            <w:pPr>
              <w:pStyle w:val="Compact"/>
            </w:pPr>
            <w:r>
              <w:t xml:space="preserve">Non-GAAP EPS</w:t>
            </w:r>
          </w:p>
        </w:tc>
        <w:tc>
          <w:tcPr/>
          <w:p>
            <w:pPr>
              <w:pStyle w:val="Compact"/>
              <w:jc w:val="right"/>
            </w:pPr>
            <w:r>
              <w:t xml:space="preserve">Down ~9%</w:t>
            </w:r>
          </w:p>
        </w:tc>
        <w:tc>
          <w:tcPr/>
          <w:p>
            <w:pPr>
              <w:pStyle w:val="Compact"/>
              <w:jc w:val="right"/>
            </w:pPr>
            <w:r>
              <w:rPr>
                <w:b/>
                <w:bCs/>
              </w:rPr>
              <w:t xml:space="preserve">$1.40</w:t>
            </w:r>
          </w:p>
        </w:tc>
      </w:tr>
    </w:tbl>
    <w:p>
      <w:pPr>
        <w:pStyle w:val="BodyText"/>
      </w:pPr>
      <w:r>
        <w:t xml:space="preserve">Mechanically, the EPS guide implies approximately **</w:t>
      </w:r>
      <m:oMath>
        <m:r>
          <m:t>1.27</m:t>
        </m:r>
        <m:r>
          <m:rPr>
            <m:sty m:val="p"/>
          </m:rPr>
          <m:t>*</m:t>
        </m:r>
        <m:r>
          <m:rPr>
            <m:sty m:val="p"/>
          </m:rPr>
          <m:t>*</m:t>
        </m:r>
        <m:r>
          <m:t>i</m:t>
        </m:r>
        <m:r>
          <m:t>n</m:t>
        </m:r>
        <m:r>
          <m:t>a</m:t>
        </m:r>
        <m:r>
          <m:t>d</m:t>
        </m:r>
        <m:r>
          <m:t>j</m:t>
        </m:r>
        <m:r>
          <m:t>u</m:t>
        </m:r>
        <m:r>
          <m:t>s</m:t>
        </m:r>
        <m:r>
          <m:t>t</m:t>
        </m:r>
        <m:r>
          <m:t>e</m:t>
        </m:r>
        <m:r>
          <m:t>d</m:t>
        </m:r>
        <m:r>
          <m:t>E</m:t>
        </m:r>
        <m:r>
          <m:t>P</m:t>
        </m:r>
        <m:r>
          <m:t>S</m:t>
        </m:r>
        <m:r>
          <m:rPr>
            <m:sty m:val="p"/>
          </m:rPr>
          <m:t>,</m:t>
        </m:r>
        <m:r>
          <m:t>w</m:t>
        </m:r>
        <m:r>
          <m:t>h</m:t>
        </m:r>
        <m:r>
          <m:t>i</m:t>
        </m:r>
        <m:r>
          <m:t>l</m:t>
        </m:r>
        <m:r>
          <m:t>e</m:t>
        </m:r>
        <m:r>
          <m:t>t</m:t>
        </m:r>
        <m:r>
          <m:t>h</m:t>
        </m:r>
        <m:r>
          <m:t>e</m:t>
        </m:r>
        <m:r>
          <m:t>T</m:t>
        </m:r>
        <m:r>
          <m:t>M</m:t>
        </m:r>
      </m:oMath>
      <w:r>
        <w:t xml:space="preserve"> </w:t>
      </w:r>
      <w:r>
        <w:t xml:space="preserve">guide implies about **</w:t>
      </w:r>
      <m:oMath>
        <m:r>
          <m:t>3.73</m:t>
        </m:r>
        <m:r>
          <m:t>B</m:t>
        </m:r>
        <m:r>
          <m:rPr>
            <m:sty m:val="p"/>
          </m:rPr>
          <m:t>*</m:t>
        </m:r>
        <m:r>
          <m:rPr>
            <m:sty m:val="p"/>
          </m:rPr>
          <m:t>*</m:t>
        </m:r>
        <m:r>
          <m:t>o</m:t>
        </m:r>
        <m:r>
          <m:t>f</m:t>
        </m:r>
        <m:r>
          <m:t>T</m:t>
        </m:r>
        <m:r>
          <m:t>M</m:t>
        </m:r>
      </m:oMath>
      <w:r>
        <w:t xml:space="preserve"> </w:t>
      </w:r>
      <w:r>
        <w:t xml:space="preserve">and</w:t>
      </w:r>
      <w:r>
        <w:t xml:space="preserve"> </w:t>
      </w:r>
      <w:r>
        <w:rPr>
          <w:b/>
          <w:bCs/>
        </w:rPr>
        <w:t xml:space="preserve">$3.46B</w:t>
      </w:r>
      <w:r>
        <w:t xml:space="preserve"> </w:t>
      </w:r>
      <w:r>
        <w:t xml:space="preserve">ex-interest, based on the year-ago results.</w:t>
      </w:r>
    </w:p>
    <w:p>
      <w:pPr>
        <w:pStyle w:val="BodyText"/>
      </w:pPr>
      <w:r>
        <w:t xml:space="preserve">The guide reflects several known issues rather than a sudden deterioration:</w:t>
      </w:r>
    </w:p>
    <w:p>
      <w:pPr>
        <w:pStyle w:val="Compact"/>
        <w:numPr>
          <w:ilvl w:val="0"/>
          <w:numId w:val="1002"/>
        </w:numPr>
      </w:pPr>
      <w:r>
        <w:t xml:space="preserve">2Q25 received a</w:t>
      </w:r>
      <w:r>
        <w:t xml:space="preserve"> </w:t>
      </w:r>
      <w:r>
        <w:rPr>
          <w:b/>
          <w:bCs/>
        </w:rPr>
        <w:t xml:space="preserve">1.5-point TM$ benefit</w:t>
      </w:r>
      <w:r>
        <w:t xml:space="preserve"> </w:t>
      </w:r>
      <w:r>
        <w:t xml:space="preserve">from renewal/expansion of a key payments-partner relationship.</w:t>
      </w:r>
    </w:p>
    <w:p>
      <w:pPr>
        <w:pStyle w:val="Compact"/>
        <w:numPr>
          <w:ilvl w:val="0"/>
          <w:numId w:val="1002"/>
        </w:numPr>
      </w:pPr>
      <w:r>
        <w:t xml:space="preserve">Credit performance was particularly strong a year ago.</w:t>
      </w:r>
    </w:p>
    <w:p>
      <w:pPr>
        <w:pStyle w:val="Compact"/>
        <w:numPr>
          <w:ilvl w:val="0"/>
          <w:numId w:val="1002"/>
        </w:numPr>
      </w:pPr>
      <w:r>
        <w:t xml:space="preserve">2Q25 also benefited from discrete G&amp;A/tax items.</w:t>
      </w:r>
    </w:p>
    <w:p>
      <w:pPr>
        <w:pStyle w:val="Compact"/>
        <w:numPr>
          <w:ilvl w:val="0"/>
          <w:numId w:val="1002"/>
        </w:numPr>
      </w:pPr>
      <w:r>
        <w:t xml:space="preserve">PayPal pulled forward technology, marketing, and product investment, leaving 2026 operating expenses more first-half weighted.</w:t>
      </w:r>
    </w:p>
    <w:p>
      <w:pPr>
        <w:pStyle w:val="FirstParagraph"/>
      </w:pPr>
      <w:r>
        <w:t xml:space="preserve">That framing means a modest EPS or TM$ miss may matter less than the</w:t>
      </w:r>
      <w:r>
        <w:t xml:space="preserve"> </w:t>
      </w:r>
      <w:r>
        <w:rPr>
          <w:i/>
          <w:iCs/>
        </w:rPr>
        <w:t xml:space="preserve">drivers</w:t>
      </w:r>
      <w:r>
        <w:t xml:space="preserve">: whether branded checkout is improving, whether investment intensity is beginning to moderate, and whether management can maintain its full-year outlook.</w:t>
      </w:r>
    </w:p>
    <w:bookmarkEnd w:id="11"/>
    <w:bookmarkStart w:id="12" w:name="Xf8d4346fd2154476bc181459fe6e11b8d2521cc"/>
    <w:p>
      <w:pPr>
        <w:pStyle w:val="Heading2"/>
      </w:pPr>
      <w:r>
        <w:t xml:space="preserve">Why total TPV can look better than the core story</w:t>
      </w:r>
    </w:p>
    <w:p>
      <w:pPr>
        <w:pStyle w:val="FirstParagraph"/>
      </w:pPr>
      <w:r>
        <w:t xml:space="preserve">1Q total TPV grew</w:t>
      </w:r>
      <w:r>
        <w:t xml:space="preserve"> </w:t>
      </w:r>
      <w:r>
        <w:rPr>
          <w:b/>
          <w:bCs/>
        </w:rPr>
        <w:t xml:space="preserve">11% reported / 8% FX-neutral</w:t>
      </w:r>
      <w:r>
        <w:t xml:space="preserve"> </w:t>
      </w:r>
      <w:r>
        <w:t xml:space="preserve">to</w:t>
      </w:r>
      <w:r>
        <w:t xml:space="preserve"> </w:t>
      </w:r>
      <w:r>
        <w:rPr>
          <w:b/>
          <w:bCs/>
        </w:rPr>
        <w:t xml:space="preserve">$464B</w:t>
      </w:r>
      <w:r>
        <w:t xml:space="preserve">, supported by:</w:t>
      </w:r>
    </w:p>
    <w:p>
      <w:pPr>
        <w:pStyle w:val="Compact"/>
        <w:numPr>
          <w:ilvl w:val="0"/>
          <w:numId w:val="1003"/>
        </w:numPr>
      </w:pPr>
      <w:r>
        <w:rPr>
          <w:b/>
          <w:bCs/>
        </w:rPr>
        <w:t xml:space="preserve">Venmo TPV growth of 14%</w:t>
      </w:r>
    </w:p>
    <w:p>
      <w:pPr>
        <w:pStyle w:val="Compact"/>
        <w:numPr>
          <w:ilvl w:val="0"/>
          <w:numId w:val="1003"/>
        </w:numPr>
      </w:pPr>
      <w:r>
        <w:t xml:space="preserve">Mid-teens growth in Enterprise Payments</w:t>
      </w:r>
    </w:p>
    <w:p>
      <w:pPr>
        <w:pStyle w:val="Compact"/>
        <w:numPr>
          <w:ilvl w:val="0"/>
          <w:numId w:val="1003"/>
        </w:numPr>
      </w:pPr>
      <w:r>
        <w:rPr>
          <w:b/>
          <w:bCs/>
        </w:rPr>
        <w:t xml:space="preserve">PSP TPV growth of 11%</w:t>
      </w:r>
      <w:r>
        <w:t xml:space="preserve">, accelerating from 7% in 2H25</w:t>
      </w:r>
    </w:p>
    <w:p>
      <w:pPr>
        <w:pStyle w:val="Compact"/>
        <w:numPr>
          <w:ilvl w:val="0"/>
          <w:numId w:val="1003"/>
        </w:numPr>
      </w:pPr>
      <w:r>
        <w:t xml:space="preserve">BNPL and Pay with Venmo growth of</w:t>
      </w:r>
      <w:r>
        <w:t xml:space="preserve"> </w:t>
      </w:r>
      <w:r>
        <w:rPr>
          <w:b/>
          <w:bCs/>
        </w:rPr>
        <w:t xml:space="preserve">23%</w:t>
      </w:r>
      <w:r>
        <w:t xml:space="preserve"> </w:t>
      </w:r>
      <w:r>
        <w:t xml:space="preserve">and</w:t>
      </w:r>
      <w:r>
        <w:t xml:space="preserve"> </w:t>
      </w:r>
      <w:r>
        <w:rPr>
          <w:b/>
          <w:bCs/>
        </w:rPr>
        <w:t xml:space="preserve">34%</w:t>
      </w:r>
      <w:r>
        <w:t xml:space="preserve">, respectively</w:t>
      </w:r>
    </w:p>
    <w:p>
      <w:pPr>
        <w:pStyle w:val="FirstParagraph"/>
      </w:pPr>
      <w:r>
        <w:t xml:space="preserve">Those are constructive indicators, but mix remains important. Faster growth in enterprise processing and Venmo can pressure take rates, while branded checkout carries disproportionate strategic importance. In 1Q, transaction take rate declined</w:t>
      </w:r>
      <w:r>
        <w:t xml:space="preserve"> </w:t>
      </w:r>
      <w:r>
        <w:rPr>
          <w:b/>
          <w:bCs/>
        </w:rPr>
        <w:t xml:space="preserve">6 bps</w:t>
      </w:r>
      <w:r>
        <w:t xml:space="preserve"> </w:t>
      </w:r>
      <w:r>
        <w:t xml:space="preserve">to</w:t>
      </w:r>
      <w:r>
        <w:t xml:space="preserve"> </w:t>
      </w:r>
      <w:r>
        <w:rPr>
          <w:b/>
          <w:bCs/>
        </w:rPr>
        <w:t xml:space="preserve">1.62%</w:t>
      </w:r>
      <w:r>
        <w:t xml:space="preserve"> </w:t>
      </w:r>
      <w:r>
        <w:t xml:space="preserve">and transaction margin contracted to</w:t>
      </w:r>
      <w:r>
        <w:t xml:space="preserve"> </w:t>
      </w:r>
      <w:r>
        <w:rPr>
          <w:b/>
          <w:bCs/>
        </w:rPr>
        <w:t xml:space="preserve">45.6%</w:t>
      </w:r>
      <w:r>
        <w:t xml:space="preserve"> </w:t>
      </w:r>
      <w:r>
        <w:t xml:space="preserve">from</w:t>
      </w:r>
      <w:r>
        <w:t xml:space="preserve"> </w:t>
      </w:r>
      <w:r>
        <w:rPr>
          <w:b/>
          <w:bCs/>
        </w:rPr>
        <w:t xml:space="preserve">47.7%</w:t>
      </w:r>
      <w:r>
        <w:t xml:space="preserve"> </w:t>
      </w:r>
      <w:r>
        <w:t xml:space="preserve">a year earlier.</w:t>
      </w:r>
    </w:p>
    <w:p>
      <w:pPr>
        <w:pStyle w:val="BodyText"/>
      </w:pPr>
      <w:r>
        <w:rPr>
          <w:b/>
          <w:bCs/>
        </w:rPr>
        <w:t xml:space="preserve">Bottom line:</w:t>
      </w:r>
      <w:r>
        <w:t xml:space="preserve"> </w:t>
      </w:r>
      <w:r>
        <w:t xml:space="preserve">Strong total TPV with weak branded checkout and further yield pressure would likely be viewed as a low-quality result. Strong TPV accompanied by branded acceleration and a stable TM$ trajectory would be a much more investable outcome.</w:t>
      </w:r>
    </w:p>
    <w:bookmarkEnd w:id="12"/>
    <w:bookmarkStart w:id="14" w:name="X7a8b9bd5c422164bd9f3f2e5db6ded06eb5ca5f"/>
    <w:p>
      <w:pPr>
        <w:pStyle w:val="Heading2"/>
      </w:pPr>
      <w:r>
        <w:t xml:space="preserve">The strategic reset: early proof points are needed</w:t>
      </w:r>
    </w:p>
    <w:p>
      <w:pPr>
        <w:pStyle w:val="FirstParagraph"/>
      </w:pPr>
      <w:r>
        <w:t xml:space="preserve">Lores’ first full quarter as CEO introduced a three-business structure:</w:t>
      </w:r>
    </w:p>
    <w:p>
      <w:pPr>
        <w:pStyle w:val="Compact"/>
        <w:numPr>
          <w:ilvl w:val="0"/>
          <w:numId w:val="1004"/>
        </w:numPr>
      </w:pPr>
      <w:r>
        <w:rPr>
          <w:b/>
          <w:bCs/>
        </w:rPr>
        <w:t xml:space="preserve">Checkout Solutions &amp; PayPal</w:t>
      </w:r>
    </w:p>
    <w:p>
      <w:pPr>
        <w:pStyle w:val="Compact"/>
        <w:numPr>
          <w:ilvl w:val="0"/>
          <w:numId w:val="1004"/>
        </w:numPr>
      </w:pPr>
      <w:r>
        <w:rPr>
          <w:b/>
          <w:bCs/>
        </w:rPr>
        <w:t xml:space="preserve">Consumer Financial Services &amp; Venmo</w:t>
      </w:r>
    </w:p>
    <w:p>
      <w:pPr>
        <w:pStyle w:val="Compact"/>
        <w:numPr>
          <w:ilvl w:val="0"/>
          <w:numId w:val="1004"/>
        </w:numPr>
      </w:pPr>
      <w:r>
        <w:rPr>
          <w:b/>
          <w:bCs/>
        </w:rPr>
        <w:t xml:space="preserve">Payment Services &amp; Crypto</w:t>
      </w:r>
    </w:p>
    <w:p>
      <w:pPr>
        <w:pStyle w:val="FirstParagraph"/>
      </w:pPr>
      <w:r>
        <w:t xml:space="preserve">The strategic direction is sensible: restore consumer engagement, focus PayPal on differentiated checkout verticals, deepen Venmo financial-services attachment, and improve monetization in Braintree/enterprise payments via value-added services. But the near-term debate is execution.</w:t>
      </w:r>
    </w:p>
    <w:p>
      <w:pPr>
        <w:pStyle w:val="BodyText"/>
      </w:pPr>
      <w:r>
        <w:t xml:space="preserve">Management has also committed to at least</w:t>
      </w:r>
      <w:r>
        <w:t xml:space="preserve"> </w:t>
      </w:r>
      <w:r>
        <w:rPr>
          <w:b/>
          <w:bCs/>
        </w:rPr>
        <w:t xml:space="preserve">$1.5B of gross run-rate savings over two to three years</w:t>
      </w:r>
      <w:r>
        <w:t xml:space="preserve">, from organizational simplification, AI-enabled process redesign, vendor/procurement rationalization, and modernization of the technology platform. The company has emphasized that savings will be partly reinvested to support growth—not simply dropped to earnings.</w:t>
      </w:r>
    </w:p>
    <w:bookmarkStart w:id="13" w:name="questions-for-the-call"/>
    <w:p>
      <w:pPr>
        <w:pStyle w:val="Heading3"/>
      </w:pPr>
      <w:r>
        <w:t xml:space="preserve">Questions for the call</w:t>
      </w:r>
    </w:p>
    <w:p>
      <w:pPr>
        <w:pStyle w:val="Compact"/>
        <w:numPr>
          <w:ilvl w:val="0"/>
          <w:numId w:val="1005"/>
        </w:numPr>
      </w:pPr>
      <w:r>
        <w:t xml:space="preserve">Has PayPal finalized the operating model, cost actions, or reinvestment priorities?</w:t>
      </w:r>
    </w:p>
    <w:p>
      <w:pPr>
        <w:pStyle w:val="Compact"/>
        <w:numPr>
          <w:ilvl w:val="0"/>
          <w:numId w:val="1005"/>
        </w:numPr>
      </w:pPr>
      <w:r>
        <w:t xml:space="preserve">What savings are expected in 2026 versus 2027–28?</w:t>
      </w:r>
    </w:p>
    <w:p>
      <w:pPr>
        <w:pStyle w:val="Compact"/>
        <w:numPr>
          <w:ilvl w:val="0"/>
          <w:numId w:val="1005"/>
        </w:numPr>
      </w:pPr>
      <w:r>
        <w:t xml:space="preserve">How much restructuring expense should investors expect?</w:t>
      </w:r>
    </w:p>
    <w:p>
      <w:pPr>
        <w:pStyle w:val="Compact"/>
        <w:numPr>
          <w:ilvl w:val="0"/>
          <w:numId w:val="1005"/>
        </w:numPr>
      </w:pPr>
      <w:r>
        <w:t xml:space="preserve">What are the initial KPIs by business line?</w:t>
      </w:r>
    </w:p>
    <w:p>
      <w:pPr>
        <w:pStyle w:val="Compact"/>
        <w:numPr>
          <w:ilvl w:val="0"/>
          <w:numId w:val="1005"/>
        </w:numPr>
      </w:pPr>
      <w:r>
        <w:t xml:space="preserve">Can management give a clearer timing framework for branded-checkout improvement and platform modernization?</w:t>
      </w:r>
    </w:p>
    <w:p>
      <w:pPr>
        <w:pStyle w:val="FirstParagraph"/>
      </w:pPr>
      <w:r>
        <w:t xml:space="preserve">A more concrete savings cadence and KPI framework would likely improve confidence in the turnaround. Vague commentary would leave investors focused on the still-soft branded-checkout trend.</w:t>
      </w:r>
    </w:p>
    <w:bookmarkEnd w:id="13"/>
    <w:bookmarkEnd w:id="14"/>
    <w:bookmarkStart w:id="15" w:name="X898cf568cc3ab3659edb407e0240f67f1342f08"/>
    <w:p>
      <w:pPr>
        <w:pStyle w:val="Heading2"/>
      </w:pPr>
      <w:r>
        <w:t xml:space="preserve">Full-year guidance is the real earnings catalyst</w:t>
      </w:r>
    </w:p>
    <w:p>
      <w:pPr>
        <w:pStyle w:val="FirstParagraph"/>
      </w:pPr>
      <w:r>
        <w:t xml:space="preserve">Despite its weak 2Q outlook, PayPal reiterated full-year 2026 guidance in May:</w:t>
      </w:r>
    </w:p>
    <w:p>
      <w:pPr>
        <w:pStyle w:val="Compact"/>
        <w:numPr>
          <w:ilvl w:val="0"/>
          <w:numId w:val="1006"/>
        </w:numPr>
      </w:pPr>
      <w:r>
        <w:t xml:space="preserve">TM$ ex-interest:</w:t>
      </w:r>
      <w:r>
        <w:t xml:space="preserve"> </w:t>
      </w:r>
      <w:r>
        <w:rPr>
          <w:b/>
          <w:bCs/>
        </w:rPr>
        <w:t xml:space="preserve">roughly flat to slightly down</w:t>
      </w:r>
    </w:p>
    <w:p>
      <w:pPr>
        <w:pStyle w:val="Compact"/>
        <w:numPr>
          <w:ilvl w:val="0"/>
          <w:numId w:val="1006"/>
        </w:numPr>
      </w:pPr>
      <w:r>
        <w:t xml:space="preserve">Non-transaction OpEx:</w:t>
      </w:r>
      <w:r>
        <w:t xml:space="preserve"> </w:t>
      </w:r>
      <w:r>
        <w:rPr>
          <w:b/>
          <w:bCs/>
        </w:rPr>
        <w:t xml:space="preserve">~3% growth</w:t>
      </w:r>
    </w:p>
    <w:p>
      <w:pPr>
        <w:pStyle w:val="Compact"/>
        <w:numPr>
          <w:ilvl w:val="0"/>
          <w:numId w:val="1006"/>
        </w:numPr>
      </w:pPr>
      <w:r>
        <w:t xml:space="preserve">Non-GAAP EPS:</w:t>
      </w:r>
      <w:r>
        <w:t xml:space="preserve"> </w:t>
      </w:r>
      <w:r>
        <w:rPr>
          <w:b/>
          <w:bCs/>
        </w:rPr>
        <w:t xml:space="preserve">down low single digits to slightly positive</w:t>
      </w:r>
    </w:p>
    <w:p>
      <w:pPr>
        <w:pStyle w:val="Compact"/>
        <w:numPr>
          <w:ilvl w:val="0"/>
          <w:numId w:val="1006"/>
        </w:numPr>
      </w:pPr>
      <w:r>
        <w:t xml:space="preserve">Adjusted free cash flow:</w:t>
      </w:r>
      <w:r>
        <w:t xml:space="preserve"> </w:t>
      </w:r>
      <w:r>
        <w:rPr>
          <w:b/>
          <w:bCs/>
        </w:rPr>
        <w:t xml:space="preserve">at least $6B</w:t>
      </w:r>
    </w:p>
    <w:p>
      <w:pPr>
        <w:pStyle w:val="Compact"/>
        <w:numPr>
          <w:ilvl w:val="0"/>
          <w:numId w:val="1006"/>
        </w:numPr>
      </w:pPr>
      <w:r>
        <w:t xml:space="preserve">Share repurchases:</w:t>
      </w:r>
      <w:r>
        <w:t xml:space="preserve"> </w:t>
      </w:r>
      <w:r>
        <w:rPr>
          <w:b/>
          <w:bCs/>
        </w:rPr>
        <w:t xml:space="preserve">~$6B</w:t>
      </w:r>
    </w:p>
    <w:p>
      <w:pPr>
        <w:pStyle w:val="FirstParagraph"/>
      </w:pPr>
      <w:r>
        <w:t xml:space="preserve">A reiteration should be achievable if 2Q plays out as telegraphed. But because 2Q is described as the year’s most difficult comparison, the market will concentrate on the implied second-half recovery. Any reduction in the full-year framework—particularly one tied to checkout, Europe, consumer demand, or investment needs—would likely outweigh a modest quarterly EPS beat.</w:t>
      </w:r>
    </w:p>
    <w:p>
      <w:pPr>
        <w:pStyle w:val="BodyText"/>
      </w:pPr>
      <w:r>
        <w:t xml:space="preserve">On the positive side, PayPal retains substantial capital-return capacity. It repurchased</w:t>
      </w:r>
      <w:r>
        <w:t xml:space="preserve"> </w:t>
      </w:r>
      <m:oMath>
        <m:r>
          <m:t>1.5</m:t>
        </m:r>
        <m:r>
          <m:t>B</m:t>
        </m:r>
        <m:r>
          <m:rPr>
            <m:sty m:val="p"/>
          </m:rPr>
          <m:t>*</m:t>
        </m:r>
        <m:r>
          <m:rPr>
            <m:sty m:val="p"/>
          </m:rPr>
          <m:t>*</m:t>
        </m:r>
        <m:r>
          <m:t>o</m:t>
        </m:r>
        <m:r>
          <m:t>f</m:t>
        </m:r>
        <m:r>
          <m:t>s</m:t>
        </m:r>
        <m:r>
          <m:t>t</m:t>
        </m:r>
        <m:r>
          <m:t>o</m:t>
        </m:r>
        <m:r>
          <m:t>c</m:t>
        </m:r>
        <m:r>
          <m:t>k</m:t>
        </m:r>
        <m:r>
          <m:t>i</m:t>
        </m:r>
        <m:r>
          <m:t>n</m:t>
        </m:r>
        <m:r>
          <m:t>1</m:t>
        </m:r>
        <m:r>
          <m:t>Q</m:t>
        </m:r>
        <m:r>
          <m:rPr>
            <m:sty m:val="p"/>
          </m:rPr>
          <m:t>,</m:t>
        </m:r>
        <m:r>
          <m:t>o</m:t>
        </m:r>
        <m:r>
          <m:t>r</m:t>
        </m:r>
        <m:r>
          <m:t>r</m:t>
        </m:r>
        <m:r>
          <m:t>o</m:t>
        </m:r>
        <m:r>
          <m:t>u</m:t>
        </m:r>
        <m:r>
          <m:t>g</m:t>
        </m:r>
        <m:r>
          <m:t>h</m:t>
        </m:r>
        <m:r>
          <m:t>l</m:t>
        </m:r>
        <m:r>
          <m:t>y</m:t>
        </m:r>
        <m:r>
          <m:t>34</m:t>
        </m:r>
        <m:r>
          <m:t>m</m:t>
        </m:r>
        <m:r>
          <m:t>i</m:t>
        </m:r>
        <m:r>
          <m:t>l</m:t>
        </m:r>
        <m:r>
          <m:t>l</m:t>
        </m:r>
        <m:r>
          <m:t>i</m:t>
        </m:r>
        <m:r>
          <m:t>o</m:t>
        </m:r>
        <m:r>
          <m:t>n</m:t>
        </m:r>
        <m:r>
          <m:t>s</m:t>
        </m:r>
        <m:r>
          <m:t>h</m:t>
        </m:r>
        <m:r>
          <m:t>a</m:t>
        </m:r>
        <m:r>
          <m:t>r</m:t>
        </m:r>
        <m:r>
          <m:t>e</m:t>
        </m:r>
        <m:r>
          <m:t>s</m:t>
        </m:r>
        <m:r>
          <m:rPr>
            <m:sty m:val="p"/>
          </m:rPr>
          <m:t>,</m:t>
        </m:r>
        <m:r>
          <m:t>a</m:t>
        </m:r>
        <m:r>
          <m:t>n</m:t>
        </m:r>
        <m:r>
          <m:t>d</m:t>
        </m:r>
        <m:r>
          <m:t>h</m:t>
        </m:r>
        <m:r>
          <m:t>a</m:t>
        </m:r>
        <m:r>
          <m:t>d</m:t>
        </m:r>
        <m:r>
          <m:t>r</m:t>
        </m:r>
        <m:r>
          <m:t>e</m:t>
        </m:r>
        <m:r>
          <m:t>t</m:t>
        </m:r>
        <m:r>
          <m:t>u</m:t>
        </m:r>
        <m:r>
          <m:t>r</m:t>
        </m:r>
        <m:r>
          <m:t>n</m:t>
        </m:r>
        <m:r>
          <m:t>e</m:t>
        </m:r>
        <m:r>
          <m:t>d</m:t>
        </m:r>
        <m:r>
          <m:rPr>
            <m:sty m:val="p"/>
          </m:rPr>
          <m:t>*</m:t>
        </m:r>
        <m:r>
          <m:rPr>
            <m:sty m:val="p"/>
          </m:rPr>
          <m:t>*</m:t>
        </m:r>
      </m:oMath>
      <w:r>
        <w:rPr>
          <w:b/>
          <w:bCs/>
        </w:rPr>
        <w:t xml:space="preserve">6.0B</w:t>
      </w:r>
      <w:r>
        <w:t xml:space="preserve"> </w:t>
      </w:r>
      <w:r>
        <w:t xml:space="preserve">over the trailing 12 months. The buyback supports per-share earnings, but the multiple will ultimately depend on proof of durable organic improvement.</w:t>
      </w:r>
    </w:p>
    <w:bookmarkEnd w:id="15"/>
    <w:bookmarkStart w:id="17" w:name="ma-has-changed-the-trading-setup"/>
    <w:p>
      <w:pPr>
        <w:pStyle w:val="Heading2"/>
      </w:pPr>
      <w:r>
        <w:t xml:space="preserve">M&amp;A has changed the trading setup</w:t>
      </w:r>
    </w:p>
    <w:p>
      <w:pPr>
        <w:pStyle w:val="FirstParagraph"/>
      </w:pPr>
      <w:r>
        <w:t xml:space="preserve">The shares closed at</w:t>
      </w:r>
      <w:r>
        <w:t xml:space="preserve"> </w:t>
      </w:r>
      <m:oMath>
        <m:r>
          <m:t>56.09</m:t>
        </m:r>
        <m:r>
          <m:t>o</m:t>
        </m:r>
        <m:r>
          <m:t>n</m:t>
        </m:r>
        <m:r>
          <m:t>J</m:t>
        </m:r>
        <m:r>
          <m:t>u</m:t>
        </m:r>
        <m:r>
          <m:t>l</m:t>
        </m:r>
        <m:r>
          <m:t>y</m:t>
        </m:r>
        <m:r>
          <m:t>27</m:t>
        </m:r>
        <m:r>
          <m:rPr>
            <m:sty m:val="p"/>
          </m:rPr>
          <m:t>*</m:t>
        </m:r>
        <m:r>
          <m:rPr>
            <m:sty m:val="p"/>
          </m:rPr>
          <m:t>*</m:t>
        </m:r>
        <m:r>
          <m:rPr>
            <m:sty m:val="p"/>
          </m:rPr>
          <m:t>,</m:t>
        </m:r>
        <m:r>
          <m:t>u</m:t>
        </m:r>
        <m:r>
          <m:t>p</m:t>
        </m:r>
        <m:r>
          <m:t>a</m:t>
        </m:r>
        <m:r>
          <m:t>b</m:t>
        </m:r>
        <m:r>
          <m:t>o</m:t>
        </m:r>
        <m:r>
          <m:t>u</m:t>
        </m:r>
        <m:r>
          <m:t>t</m:t>
        </m:r>
        <m:r>
          <m:rPr>
            <m:sty m:val="p"/>
          </m:rPr>
          <m:t>*</m:t>
        </m:r>
        <m:r>
          <m:rPr>
            <m:sty m:val="p"/>
          </m:rPr>
          <m:t>*</m:t>
        </m:r>
        <m:r>
          <m:t>27</m:t>
        </m:r>
      </m:oMath>
      <w:r>
        <w:rPr>
          <w:b/>
          <w:bCs/>
        </w:rPr>
        <w:t xml:space="preserve">60.50 per share</w:t>
      </w:r>
      <w:r>
        <w:t xml:space="preserve">, valuing PayPal at more than $53 billion. Reuters subsequently reported that PayPal’s board views the offer as inadequate and sees regulatory and financing hurdles; PayPal had not formally responded at that time. (</w:t>
      </w:r>
      <w:hyperlink r:id="rId16">
        <w:r>
          <w:rPr>
            <w:rStyle w:val="Hyperlink"/>
          </w:rPr>
          <w:t xml:space="preserve">investing.com</w:t>
        </w:r>
      </w:hyperlink>
      <w:r>
        <w:t xml:space="preserve">)</w:t>
      </w:r>
    </w:p>
    <w:p>
      <w:pPr>
        <w:pStyle w:val="BodyText"/>
      </w:pPr>
      <w:r>
        <w:t xml:space="preserve">This matters for earnings in two ways:</w:t>
      </w:r>
    </w:p>
    <w:p>
      <w:pPr>
        <w:pStyle w:val="Compact"/>
        <w:numPr>
          <w:ilvl w:val="0"/>
          <w:numId w:val="1007"/>
        </w:numPr>
      </w:pPr>
      <w:r>
        <w:rPr>
          <w:b/>
          <w:bCs/>
        </w:rPr>
        <w:t xml:space="preserve">The downside may be partially buffered by deal speculation</w:t>
      </w:r>
      <w:r>
        <w:t xml:space="preserve">, although the closing price remains below the reported $60.50 proposal.</w:t>
      </w:r>
    </w:p>
    <w:p>
      <w:pPr>
        <w:pStyle w:val="Compact"/>
        <w:numPr>
          <w:ilvl w:val="0"/>
          <w:numId w:val="1007"/>
        </w:numPr>
      </w:pPr>
      <w:r>
        <w:rPr>
          <w:b/>
          <w:bCs/>
        </w:rPr>
        <w:t xml:space="preserve">A strong standalone strategic case matters more.</w:t>
      </w:r>
      <w:r>
        <w:t xml:space="preserve"> </w:t>
      </w:r>
      <w:r>
        <w:t xml:space="preserve">If management demonstrates accelerating checkout trends, credible cost savings, and resilient cash flow, it could strengthen the board’s argument that the reported bid undervalues PayPal. If results weaken or full-year guidance is cut, the market may place greater weight on deal certainty and the odds of a revised offer.</w:t>
      </w:r>
    </w:p>
    <w:p>
      <w:pPr>
        <w:pStyle w:val="FirstParagraph"/>
      </w:pPr>
      <w:r>
        <w:t xml:space="preserve">Investors should not assume management will provide substantive deal commentary. The reported proposal is not a signed transaction and remains subject to financing, regulatory review, and board engagement. (</w:t>
      </w:r>
      <w:hyperlink r:id="rId16">
        <w:r>
          <w:rPr>
            <w:rStyle w:val="Hyperlink"/>
          </w:rPr>
          <w:t xml:space="preserve">investing.com</w:t>
        </w:r>
      </w:hyperlink>
      <w:r>
        <w:t xml:space="preserve">)</w:t>
      </w:r>
    </w:p>
    <w:bookmarkEnd w:id="17"/>
    <w:bookmarkStart w:id="21" w:name="bull-base-and-bear-read-throughs"/>
    <w:p>
      <w:pPr>
        <w:pStyle w:val="Heading2"/>
      </w:pPr>
      <w:r>
        <w:t xml:space="preserve">Bull, base, and bear read-throughs</w:t>
      </w:r>
    </w:p>
    <w:bookmarkStart w:id="18" w:name="bull-case"/>
    <w:p>
      <w:pPr>
        <w:pStyle w:val="Heading3"/>
      </w:pPr>
      <w:r>
        <w:t xml:space="preserve">Bull case</w:t>
      </w:r>
    </w:p>
    <w:p>
      <w:pPr>
        <w:pStyle w:val="Compact"/>
        <w:numPr>
          <w:ilvl w:val="0"/>
          <w:numId w:val="1008"/>
        </w:numPr>
      </w:pPr>
      <w:r>
        <w:t xml:space="preserve">Branded checkout growth accelerates meaningfully from 1Q’s 2% FX-neutral level.</w:t>
      </w:r>
    </w:p>
    <w:p>
      <w:pPr>
        <w:pStyle w:val="Compact"/>
        <w:numPr>
          <w:ilvl w:val="0"/>
          <w:numId w:val="1008"/>
        </w:numPr>
      </w:pPr>
      <w:r>
        <w:t xml:space="preserve">Venmo, BNPL, and enterprise payments remain strong without further material margin dilution.</w:t>
      </w:r>
    </w:p>
    <w:p>
      <w:pPr>
        <w:pStyle w:val="Compact"/>
        <w:numPr>
          <w:ilvl w:val="0"/>
          <w:numId w:val="1008"/>
        </w:numPr>
      </w:pPr>
      <w:r>
        <w:t xml:space="preserve">TM$ meets or exceeds the guide despite elevated investment.</w:t>
      </w:r>
    </w:p>
    <w:p>
      <w:pPr>
        <w:pStyle w:val="Compact"/>
        <w:numPr>
          <w:ilvl w:val="0"/>
          <w:numId w:val="1008"/>
        </w:numPr>
      </w:pPr>
      <w:r>
        <w:t xml:space="preserve">Full-year guidance is reiterated, with confidence in a better second half.</w:t>
      </w:r>
    </w:p>
    <w:p>
      <w:pPr>
        <w:pStyle w:val="Compact"/>
        <w:numPr>
          <w:ilvl w:val="0"/>
          <w:numId w:val="1008"/>
        </w:numPr>
      </w:pPr>
      <w:r>
        <w:t xml:space="preserve">Management quantifies savings timing, restructuring actions, and business-specific KPIs.</w:t>
      </w:r>
    </w:p>
    <w:p>
      <w:pPr>
        <w:pStyle w:val="Compact"/>
        <w:numPr>
          <w:ilvl w:val="0"/>
          <w:numId w:val="1008"/>
        </w:numPr>
      </w:pPr>
      <w:r>
        <w:t xml:space="preserve">Standalone execution strengthens amid the reported takeover interest.</w:t>
      </w:r>
    </w:p>
    <w:bookmarkEnd w:id="18"/>
    <w:bookmarkStart w:id="19" w:name="base-case"/>
    <w:p>
      <w:pPr>
        <w:pStyle w:val="Heading3"/>
      </w:pPr>
      <w:r>
        <w:t xml:space="preserve">Base case</w:t>
      </w:r>
    </w:p>
    <w:p>
      <w:pPr>
        <w:pStyle w:val="Compact"/>
        <w:numPr>
          <w:ilvl w:val="0"/>
          <w:numId w:val="1009"/>
        </w:numPr>
      </w:pPr>
      <w:r>
        <w:t xml:space="preserve">Revenue, TM$, and EPS are broadly consistent with the intentionally conservative 2Q guide.</w:t>
      </w:r>
    </w:p>
    <w:p>
      <w:pPr>
        <w:pStyle w:val="Compact"/>
        <w:numPr>
          <w:ilvl w:val="0"/>
          <w:numId w:val="1009"/>
        </w:numPr>
      </w:pPr>
      <w:r>
        <w:t xml:space="preserve">Branded checkout remains low-single-digit positive but does not yet show a decisive inflection.</w:t>
      </w:r>
    </w:p>
    <w:p>
      <w:pPr>
        <w:pStyle w:val="Compact"/>
        <w:numPr>
          <w:ilvl w:val="0"/>
          <w:numId w:val="1009"/>
        </w:numPr>
      </w:pPr>
      <w:r>
        <w:t xml:space="preserve">Full-year guidance is reiterated, but management remains cautious on Europe and consumer activity.</w:t>
      </w:r>
    </w:p>
    <w:p>
      <w:pPr>
        <w:pStyle w:val="Compact"/>
        <w:numPr>
          <w:ilvl w:val="0"/>
          <w:numId w:val="1009"/>
        </w:numPr>
      </w:pPr>
      <w:r>
        <w:t xml:space="preserve">Cost-savings details remain directional rather than fully quantified.</w:t>
      </w:r>
    </w:p>
    <w:p>
      <w:pPr>
        <w:pStyle w:val="Compact"/>
        <w:numPr>
          <w:ilvl w:val="0"/>
          <w:numId w:val="1009"/>
        </w:numPr>
      </w:pPr>
      <w:r>
        <w:t xml:space="preserve">The stock continues to trade on a blend of turnaround progress and M&amp;A optionality.</w:t>
      </w:r>
    </w:p>
    <w:bookmarkEnd w:id="19"/>
    <w:bookmarkStart w:id="20" w:name="bear-case"/>
    <w:p>
      <w:pPr>
        <w:pStyle w:val="Heading3"/>
      </w:pPr>
      <w:r>
        <w:t xml:space="preserve">Bear case</w:t>
      </w:r>
    </w:p>
    <w:p>
      <w:pPr>
        <w:pStyle w:val="Compact"/>
        <w:numPr>
          <w:ilvl w:val="0"/>
          <w:numId w:val="1010"/>
        </w:numPr>
      </w:pPr>
      <w:r>
        <w:t xml:space="preserve">Branded checkout turns negative or management points to worsening European/travel trends.</w:t>
      </w:r>
    </w:p>
    <w:p>
      <w:pPr>
        <w:pStyle w:val="Compact"/>
        <w:numPr>
          <w:ilvl w:val="0"/>
          <w:numId w:val="1010"/>
        </w:numPr>
      </w:pPr>
      <w:r>
        <w:t xml:space="preserve">Take-rate and transaction-margin pressure exceed expectations.</w:t>
      </w:r>
    </w:p>
    <w:p>
      <w:pPr>
        <w:pStyle w:val="Compact"/>
        <w:numPr>
          <w:ilvl w:val="0"/>
          <w:numId w:val="1010"/>
        </w:numPr>
      </w:pPr>
      <w:r>
        <w:t xml:space="preserve">Full-year guidance is reduced, or the implied second-half recovery becomes less credible.</w:t>
      </w:r>
    </w:p>
    <w:p>
      <w:pPr>
        <w:pStyle w:val="Compact"/>
        <w:numPr>
          <w:ilvl w:val="0"/>
          <w:numId w:val="1010"/>
        </w:numPr>
      </w:pPr>
      <w:r>
        <w:t xml:space="preserve">Cost savings appear slower, more expensive, or heavily reinvested without clear return thresholds.</w:t>
      </w:r>
    </w:p>
    <w:p>
      <w:pPr>
        <w:pStyle w:val="Compact"/>
        <w:numPr>
          <w:ilvl w:val="0"/>
          <w:numId w:val="1010"/>
        </w:numPr>
      </w:pPr>
      <w:r>
        <w:t xml:space="preserve">The company offers no incremental evidence that its checkout investments are improving merchant conversion or consumer habituation.</w:t>
      </w:r>
    </w:p>
    <w:bookmarkEnd w:id="20"/>
    <w:bookmarkEnd w:id="21"/>
    <w:bookmarkStart w:id="22" w:name="investment-takeaway"/>
    <w:p>
      <w:pPr>
        <w:pStyle w:val="Heading2"/>
      </w:pPr>
      <w:r>
        <w:t xml:space="preserve">Investment takeaway</w:t>
      </w:r>
    </w:p>
    <w:p>
      <w:pPr>
        <w:pStyle w:val="FirstParagraph"/>
      </w:pPr>
      <w:r>
        <w:rPr>
          <w:b/>
          <w:bCs/>
        </w:rPr>
        <w:t xml:space="preserve">PYPL’s 2Q26 report is a credibility checkpoint.</w:t>
      </w:r>
      <w:r>
        <w:t xml:space="preserve"> </w:t>
      </w:r>
      <w:r>
        <w:t xml:space="preserve">The company has already prepared investors for year-over-year EPS and transaction-margin declines, so the headline numbers themselves are unlikely to decide the stock. The decisive variables are:</w:t>
      </w:r>
    </w:p>
    <w:p>
      <w:pPr>
        <w:pStyle w:val="Compact"/>
        <w:numPr>
          <w:ilvl w:val="0"/>
          <w:numId w:val="1011"/>
        </w:numPr>
      </w:pPr>
      <w:r>
        <w:rPr>
          <w:b/>
          <w:bCs/>
        </w:rPr>
        <w:t xml:space="preserve">Branded checkout growth and its trajectory</w:t>
      </w:r>
    </w:p>
    <w:p>
      <w:pPr>
        <w:pStyle w:val="Compact"/>
        <w:numPr>
          <w:ilvl w:val="0"/>
          <w:numId w:val="1011"/>
        </w:numPr>
      </w:pPr>
      <w:r>
        <w:rPr>
          <w:b/>
          <w:bCs/>
        </w:rPr>
        <w:t xml:space="preserve">Margin quality despite investment and mix pressure</w:t>
      </w:r>
    </w:p>
    <w:p>
      <w:pPr>
        <w:pStyle w:val="Compact"/>
        <w:numPr>
          <w:ilvl w:val="0"/>
          <w:numId w:val="1011"/>
        </w:numPr>
      </w:pPr>
      <w:r>
        <w:rPr>
          <w:b/>
          <w:bCs/>
        </w:rPr>
        <w:t xml:space="preserve">Confidence in second-half recovery and full-year guidance</w:t>
      </w:r>
    </w:p>
    <w:p>
      <w:pPr>
        <w:pStyle w:val="Compact"/>
        <w:numPr>
          <w:ilvl w:val="0"/>
          <w:numId w:val="1011"/>
        </w:numPr>
      </w:pPr>
      <w:r>
        <w:rPr>
          <w:b/>
          <w:bCs/>
        </w:rPr>
        <w:t xml:space="preserve">Specificity around the $1.5B-plus cost program</w:t>
      </w:r>
    </w:p>
    <w:p>
      <w:pPr>
        <w:pStyle w:val="Compact"/>
        <w:numPr>
          <w:ilvl w:val="0"/>
          <w:numId w:val="1011"/>
        </w:numPr>
      </w:pPr>
      <w:r>
        <w:rPr>
          <w:b/>
          <w:bCs/>
        </w:rPr>
        <w:t xml:space="preserve">Any read-through on the reported Stripe/Advent proposal</w:t>
      </w:r>
    </w:p>
    <w:p>
      <w:pPr>
        <w:pStyle w:val="FirstParagraph"/>
      </w:pPr>
      <w:r>
        <w:t xml:space="preserve">The cleanest positive outcome is not simply an EPS beat; it is</w:t>
      </w:r>
      <w:r>
        <w:t xml:space="preserve"> </w:t>
      </w:r>
      <w:r>
        <w:rPr>
          <w:b/>
          <w:bCs/>
        </w:rPr>
        <w:t xml:space="preserve">evidence that branded checkout is improving while PayPal preserves its full-year financial framework and makes the turnaround plan more measurable</w:t>
      </w:r>
      <w:r>
        <w:t xml:space="preserv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www.investing.com/news/stock-market-news/exclusivepaypal-board-sees-stripeadvent-offer-as-inadequate-sources-say-4797217?utm_source=openai" TargetMode="External" /></Relationships>
</file>

<file path=word/_rels/footnotes.xml.rels><?xml version="1.0" encoding="UTF-8"?><Relationships xmlns="http://schemas.openxmlformats.org/package/2006/relationships"><Relationship Type="http://schemas.openxmlformats.org/officeDocument/2006/relationships/hyperlink" Id="rId16" Target="https://www.investing.com/news/stock-market-news/exclusivepaypal-board-sees-stripeadvent-offer-as-inadequate-sources-say-4797217?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2026-07-28T00:04:59Z</dcterms:created>
  <dcterms:modified xsi:type="dcterms:W3CDTF">2026-07-28T00:04:59Z</dcterms:modified>
</cp:coreProperties>
</file>

<file path=docProps/custom.xml><?xml version="1.0" encoding="utf-8"?>
<Properties xmlns="http://schemas.openxmlformats.org/officeDocument/2006/custom-properties" xmlns:vt="http://schemas.openxmlformats.org/officeDocument/2006/docPropsVTypes"/>
</file>