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PayPal Holdings, Inc. (PYPL)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PayPal Holdings, Inc.</w:t>
            </w:r>
          </w:p>
        </w:tc>
      </w:tr>
      <w:tr>
        <w:tc>
          <w:tcPr>
            <w:tcW w:type="dxa" w:w="4320"/>
          </w:tcPr>
          <w:p>
            <w:r>
              <w:rPr>
                <w:rFonts w:ascii="Calibri" w:hAnsi="Calibri"/>
                <w:b/>
                <w:sz w:val="22"/>
              </w:rPr>
              <w:t>Ticker</w:t>
            </w:r>
          </w:p>
        </w:tc>
        <w:tc>
          <w:tcPr>
            <w:tcW w:type="dxa" w:w="4320"/>
          </w:tcPr>
          <w:p>
            <w:r>
              <w:rPr>
                <w:rFonts w:ascii="Calibri" w:hAnsi="Calibri"/>
                <w:sz w:val="22"/>
              </w:rPr>
              <w:t>NASDAQ: PYPL</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Before Market Open</w:t>
            </w:r>
          </w:p>
        </w:tc>
      </w:tr>
      <w:tr>
        <w:tc>
          <w:tcPr>
            <w:tcW w:type="dxa" w:w="4320"/>
          </w:tcPr>
          <w:p>
            <w:r>
              <w:rPr>
                <w:rFonts w:ascii="Calibri" w:hAnsi="Calibri"/>
                <w:b/>
                <w:sz w:val="22"/>
              </w:rPr>
              <w:t>Conference Call</w:t>
            </w:r>
          </w:p>
        </w:tc>
        <w:tc>
          <w:tcPr>
            <w:tcW w:type="dxa" w:w="4320"/>
          </w:tcPr>
          <w:p>
            <w:r>
              <w:rPr>
                <w:rFonts w:ascii="Calibri" w:hAnsi="Calibri"/>
                <w:sz w:val="22"/>
              </w:rPr>
              <w:t>8:00 AM ET, July 28, 2026</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mixed-to-cautious — consensus is a manageable bar given Q2 guidance already called for a ~9% EPS decline, but the single biggest swing factor is whether branded checkout TPV can show any sequential improvement from Q1’s 2% FX-neutral growth, and whether management upgrades its full-year tone. The wildcard dominating the tape is the reported $60.50/share Stripe + Advent acquisition bid, which has already re-rated the stock ~20% and creates a binary event layered on top of the fundamental print.</w:t>
      </w:r>
    </w:p>
    <w:p>
      <w:r>
        <w:rPr>
          <w:rFonts w:ascii="Calibri" w:hAnsi="Calibri"/>
          <w:color w:val="525866"/>
          <w:sz w:val="22"/>
        </w:rPr>
        <w:t xml:space="preserve">Heading into Q2 2026 earnings, the bar is intentionally low: management guided for a </w:t>
      </w:r>
      <w:r>
        <w:rPr>
          <w:rFonts w:ascii="Calibri" w:hAnsi="Calibri"/>
          <w:b/>
          <w:color w:val="525866"/>
          <w:sz w:val="22"/>
        </w:rPr>
        <w:t>~9% non-GAAP EPS decline</w:t>
      </w:r>
      <w:r>
        <w:rPr>
          <w:rFonts w:ascii="Calibri" w:hAnsi="Calibri"/>
          <w:color w:val="525866"/>
          <w:sz w:val="22"/>
        </w:rPr>
        <w:t xml:space="preserve"> and low single-digit revenue growth on a currency-neutral basis, citing the toughest year-over-year comparison of 2026 (Q2 2025 included a 1.5-point transaction margin dollar benefit from a key payment partner renewal and unusually strong credit performance). Guidance/tone from CEO Enrique Lores on the Q1 call was sobering — branded checkout trends were running at the </w:t>
      </w:r>
      <w:r>
        <w:rPr>
          <w:rFonts w:ascii="Calibri" w:hAnsi="Calibri"/>
          <w:b/>
          <w:color w:val="525866"/>
          <w:sz w:val="22"/>
        </w:rPr>
        <w:t>low end of full-year guidance quarter-to-date</w:t>
      </w:r>
      <w:r>
        <w:rPr>
          <w:rFonts w:ascii="Calibri" w:hAnsi="Calibri"/>
          <w:color w:val="525866"/>
          <w:sz w:val="22"/>
        </w:rPr>
        <w:t xml:space="preserve">, with travel vertical softness and continued European weakness as incremental headwinds, and the full strategic plan remains months away from completion. Estimate revisions have been largely stable since the Q1 print (consensus Q2 EPS of ~$1.42 vs. guidance midpoint implying ~$1.29, suggesting the street is modeling a modest beat), but the gap between consensus and guidance reflects typical post-guidance conservatism rather than a meaningful cushion. The stock has rallied sharply from its post-Q1 lows near $41 to ~$56, driven almost entirely by the July 15 news that </w:t>
      </w:r>
      <w:r>
        <w:rPr>
          <w:rFonts w:ascii="Calibri" w:hAnsi="Calibri"/>
          <w:b/>
          <w:color w:val="525866"/>
          <w:sz w:val="22"/>
        </w:rPr>
        <w:t>Stripe and Advent International submitted a joint $60.50/share (~$53B) acquisition offer</w:t>
      </w:r>
      <w:r>
        <w:rPr>
          <w:rFonts w:ascii="Calibri" w:hAnsi="Calibri"/>
          <w:color w:val="525866"/>
          <w:sz w:val="22"/>
        </w:rPr>
        <w:t xml:space="preserve"> — a 28% premium to the pre-announcement close — which has compressed the fundamental earnings setup into secondary importance. The wildcard is whether PayPal’s board engages seriously with the bid (currently reported as viewing the offer as undervaluing the company) or whether the Q2 print itself resets the fundamental narrative; any guidance raise or tone improvement on branded checkout would be additive, while a miss or further guidance cut could test the acquisition floor.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 management pre-set expectations for a high-single-digit EPS decline and modest revenue growth, so a beat is achievable. </w:t>
      </w:r>
      <w:r>
        <w:rPr>
          <w:rFonts w:ascii="Calibri" w:hAnsi="Calibri"/>
          <w:b/>
          <w:color w:val="525866"/>
          <w:sz w:val="22"/>
        </w:rPr>
        <w:t>Transaction margin dollars ex-interest is the bigger swing factor</w:t>
      </w:r>
      <w:r>
        <w:rPr>
          <w:rFonts w:ascii="Calibri" w:hAnsi="Calibri"/>
          <w:color w:val="525866"/>
          <w:sz w:val="22"/>
        </w:rPr>
        <w:t>: any improvement beyond the guided ~2% decline would signal the investment cycle is less punishing than feared, while branded checkout TPV growth is the key read on competitive positioning.</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(Cons. vs. PY)</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Revenue ($B)</w:t>
            </w:r>
          </w:p>
        </w:tc>
        <w:tc>
          <w:tcPr>
            <w:tcW w:type="dxa" w:w="1234"/>
          </w:tcPr>
          <w:p>
            <w:r>
              <w:rPr>
                <w:rFonts w:ascii="Calibri" w:hAnsi="Calibri"/>
                <w:sz w:val="22"/>
              </w:rPr>
              <w:t>$8.35B</w:t>
            </w:r>
          </w:p>
        </w:tc>
        <w:tc>
          <w:tcPr>
            <w:tcW w:type="dxa" w:w="1234"/>
          </w:tcPr>
          <w:p>
            <w:r>
              <w:rPr>
                <w:rFonts w:ascii="Calibri" w:hAnsi="Calibri"/>
                <w:sz w:val="22"/>
              </w:rPr>
              <w:t>$8.29B</w:t>
            </w:r>
          </w:p>
        </w:tc>
        <w:tc>
          <w:tcPr>
            <w:tcW w:type="dxa" w:w="1234"/>
          </w:tcPr>
          <w:p>
            <w:r>
              <w:rPr>
                <w:rFonts w:ascii="Calibri" w:hAnsi="Calibri"/>
                <w:sz w:val="22"/>
              </w:rPr>
              <w:t>$8.47B</w:t>
            </w:r>
          </w:p>
        </w:tc>
        <w:tc>
          <w:tcPr>
            <w:tcW w:type="dxa" w:w="1234"/>
          </w:tcPr>
          <w:p>
            <w:r>
              <w:rPr>
                <w:rFonts w:ascii="Calibri" w:hAnsi="Calibri"/>
                <w:sz w:val="22"/>
              </w:rPr>
              <w:t>+2.2%</w:t>
            </w:r>
          </w:p>
        </w:tc>
        <w:tc>
          <w:tcPr>
            <w:tcW w:type="dxa" w:w="1234"/>
          </w:tcPr>
          <w:p>
            <w:r>
              <w:rPr>
                <w:rFonts w:ascii="Calibri" w:hAnsi="Calibri"/>
                <w:sz w:val="22"/>
              </w:rPr>
              <w:t>Low single-digit growth (CN)</w:t>
            </w:r>
          </w:p>
        </w:tc>
        <w:tc>
          <w:tcPr>
            <w:tcW w:type="dxa" w:w="1234"/>
          </w:tcPr>
          <w:p>
            <w:r>
              <w:rPr>
                <w:rFonts w:ascii="Calibri" w:hAnsi="Calibri"/>
                <w:sz w:val="22"/>
              </w:rPr>
              <w:t>~In line</w:t>
            </w:r>
          </w:p>
        </w:tc>
      </w:tr>
      <w:tr>
        <w:tc>
          <w:tcPr>
            <w:tcW w:type="dxa" w:w="1234"/>
          </w:tcPr>
          <w:p>
            <w:r>
              <w:rPr>
                <w:rFonts w:ascii="Calibri" w:hAnsi="Calibri"/>
                <w:sz w:val="22"/>
              </w:rPr>
              <w:t>Non-GAAP EPS (Diluted)</w:t>
            </w:r>
          </w:p>
        </w:tc>
        <w:tc>
          <w:tcPr>
            <w:tcW w:type="dxa" w:w="1234"/>
          </w:tcPr>
          <w:p>
            <w:r>
              <w:rPr>
                <w:rFonts w:ascii="Calibri" w:hAnsi="Calibri"/>
                <w:sz w:val="22"/>
              </w:rPr>
              <w:t>$1.34</w:t>
            </w:r>
          </w:p>
        </w:tc>
        <w:tc>
          <w:tcPr>
            <w:tcW w:type="dxa" w:w="1234"/>
          </w:tcPr>
          <w:p>
            <w:r>
              <w:rPr>
                <w:rFonts w:ascii="Calibri" w:hAnsi="Calibri"/>
                <w:sz w:val="22"/>
              </w:rPr>
              <w:t>$1.58</w:t>
            </w:r>
          </w:p>
        </w:tc>
        <w:tc>
          <w:tcPr>
            <w:tcW w:type="dxa" w:w="1234"/>
          </w:tcPr>
          <w:p>
            <w:r>
              <w:rPr>
                <w:rFonts w:ascii="Calibri" w:hAnsi="Calibri"/>
                <w:sz w:val="22"/>
              </w:rPr>
              <w:t>$1.42</w:t>
            </w:r>
          </w:p>
        </w:tc>
        <w:tc>
          <w:tcPr>
            <w:tcW w:type="dxa" w:w="1234"/>
          </w:tcPr>
          <w:p>
            <w:r>
              <w:rPr>
                <w:rFonts w:ascii="Calibri" w:hAnsi="Calibri"/>
                <w:sz w:val="22"/>
              </w:rPr>
              <w:t>-10.1%</w:t>
            </w:r>
          </w:p>
        </w:tc>
        <w:tc>
          <w:tcPr>
            <w:tcW w:type="dxa" w:w="1234"/>
          </w:tcPr>
          <w:p>
            <w:r>
              <w:rPr>
                <w:rFonts w:ascii="Calibri" w:hAnsi="Calibri"/>
                <w:sz w:val="22"/>
              </w:rPr>
              <w:t>~$1.29 (down ~9%)</w:t>
            </w:r>
          </w:p>
        </w:tc>
        <w:tc>
          <w:tcPr>
            <w:tcW w:type="dxa" w:w="1234"/>
          </w:tcPr>
          <w:p>
            <w:r>
              <w:rPr>
                <w:rFonts w:ascii="Calibri" w:hAnsi="Calibri"/>
                <w:sz w:val="22"/>
              </w:rPr>
              <w:t>+~10% above guidance</w:t>
            </w:r>
          </w:p>
        </w:tc>
      </w:tr>
      <w:tr>
        <w:tc>
          <w:tcPr>
            <w:tcW w:type="dxa" w:w="1234"/>
          </w:tcPr>
          <w:p>
            <w:r>
              <w:rPr>
                <w:rFonts w:ascii="Calibri" w:hAnsi="Calibri"/>
                <w:sz w:val="22"/>
              </w:rPr>
              <w:t>Total Payment Volume (TPV, $B)</w:t>
            </w:r>
          </w:p>
        </w:tc>
        <w:tc>
          <w:tcPr>
            <w:tcW w:type="dxa" w:w="1234"/>
          </w:tcPr>
          <w:p>
            <w:r>
              <w:rPr>
                <w:rFonts w:ascii="Calibri" w:hAnsi="Calibri"/>
                <w:sz w:val="22"/>
              </w:rPr>
              <w:t>$464.0B</w:t>
            </w:r>
          </w:p>
        </w:tc>
        <w:tc>
          <w:tcPr>
            <w:tcW w:type="dxa" w:w="1234"/>
          </w:tcPr>
          <w:p>
            <w:r>
              <w:rPr>
                <w:rFonts w:ascii="Calibri" w:hAnsi="Calibri"/>
                <w:sz w:val="22"/>
              </w:rPr>
              <w:t>$443.5B</w:t>
            </w:r>
          </w:p>
        </w:tc>
        <w:tc>
          <w:tcPr>
            <w:tcW w:type="dxa" w:w="1234"/>
          </w:tcPr>
          <w:p>
            <w:r>
              <w:rPr>
                <w:rFonts w:ascii="Calibri" w:hAnsi="Calibri"/>
                <w:sz w:val="22"/>
              </w:rPr>
              <w:t>$473.0B</w:t>
            </w:r>
          </w:p>
        </w:tc>
        <w:tc>
          <w:tcPr>
            <w:tcW w:type="dxa" w:w="1234"/>
          </w:tcPr>
          <w:p>
            <w:r>
              <w:rPr>
                <w:rFonts w:ascii="Calibri" w:hAnsi="Calibri"/>
                <w:sz w:val="22"/>
              </w:rPr>
              <w:t>+6.7%</w:t>
            </w:r>
          </w:p>
        </w:tc>
        <w:tc>
          <w:tcPr>
            <w:tcW w:type="dxa" w:w="1234"/>
          </w:tcPr>
          <w:p>
            <w:r>
              <w:rPr>
                <w:rFonts w:ascii="Calibri" w:hAnsi="Calibri"/>
                <w:sz w:val="22"/>
              </w:rPr>
              <w:t>N/A (not guided explicitly)</w:t>
            </w:r>
          </w:p>
        </w:tc>
        <w:tc>
          <w:tcPr>
            <w:tcW w:type="dxa" w:w="1234"/>
          </w:tcPr>
          <w:p>
            <w:r>
              <w:rPr>
                <w:rFonts w:ascii="Calibri" w:hAnsi="Calibri"/>
                <w:sz w:val="22"/>
              </w:rPr>
              <w:t>N/A</w:t>
            </w:r>
          </w:p>
        </w:tc>
      </w:tr>
      <w:tr>
        <w:tc>
          <w:tcPr>
            <w:tcW w:type="dxa" w:w="1234"/>
          </w:tcPr>
          <w:p>
            <w:r>
              <w:rPr>
                <w:rFonts w:ascii="Calibri" w:hAnsi="Calibri"/>
                <w:sz w:val="22"/>
              </w:rPr>
              <w:t>Branded Checkout TPV ($B)</w:t>
            </w:r>
          </w:p>
        </w:tc>
        <w:tc>
          <w:tcPr>
            <w:tcW w:type="dxa" w:w="1234"/>
          </w:tcPr>
          <w:p>
            <w:r>
              <w:rPr>
                <w:rFonts w:ascii="Calibri" w:hAnsi="Calibri"/>
                <w:sz w:val="22"/>
              </w:rPr>
              <w:t>$134.5B</w:t>
            </w:r>
          </w:p>
        </w:tc>
        <w:tc>
          <w:tcPr>
            <w:tcW w:type="dxa" w:w="1234"/>
          </w:tcPr>
          <w:p>
            <w:r>
              <w:rPr>
                <w:rFonts w:ascii="Calibri" w:hAnsi="Calibri"/>
                <w:sz w:val="22"/>
              </w:rPr>
              <w:t>$128.6B</w:t>
            </w:r>
          </w:p>
        </w:tc>
        <w:tc>
          <w:tcPr>
            <w:tcW w:type="dxa" w:w="1234"/>
          </w:tcPr>
          <w:p>
            <w:r>
              <w:rPr>
                <w:rFonts w:ascii="Calibri" w:hAnsi="Calibri"/>
                <w:sz w:val="22"/>
              </w:rPr>
              <w:t>$131.7B</w:t>
            </w:r>
          </w:p>
        </w:tc>
        <w:tc>
          <w:tcPr>
            <w:tcW w:type="dxa" w:w="1234"/>
          </w:tcPr>
          <w:p>
            <w:r>
              <w:rPr>
                <w:rFonts w:ascii="Calibri" w:hAnsi="Calibri"/>
                <w:sz w:val="22"/>
              </w:rPr>
              <w:t>+2.4%</w:t>
            </w:r>
          </w:p>
        </w:tc>
        <w:tc>
          <w:tcPr>
            <w:tcW w:type="dxa" w:w="1234"/>
          </w:tcPr>
          <w:p>
            <w:r>
              <w:rPr>
                <w:rFonts w:ascii="Calibri" w:hAnsi="Calibri"/>
                <w:sz w:val="22"/>
              </w:rPr>
              <w:t>Slightly positive to low single-digit FX-neutral growth (FY)</w:t>
            </w:r>
          </w:p>
        </w:tc>
        <w:tc>
          <w:tcPr>
            <w:tcW w:type="dxa" w:w="1234"/>
          </w:tcPr>
          <w:p>
            <w:r>
              <w:rPr>
                <w:rFonts w:ascii="Calibri" w:hAnsi="Calibri"/>
                <w:sz w:val="22"/>
              </w:rPr>
              <w:t>~Low end of range</w:t>
            </w:r>
          </w:p>
        </w:tc>
      </w:tr>
      <w:tr>
        <w:tc>
          <w:tcPr>
            <w:tcW w:type="dxa" w:w="1234"/>
          </w:tcPr>
          <w:p>
            <w:r>
              <w:rPr>
                <w:rFonts w:ascii="Calibri" w:hAnsi="Calibri"/>
                <w:sz w:val="22"/>
              </w:rPr>
              <w:t>Branded Checkout TPV Growth (FX-Neutral, %)</w:t>
            </w:r>
          </w:p>
        </w:tc>
        <w:tc>
          <w:tcPr>
            <w:tcW w:type="dxa" w:w="1234"/>
          </w:tcPr>
          <w:p>
            <w:r>
              <w:rPr>
                <w:rFonts w:ascii="Calibri" w:hAnsi="Calibri"/>
                <w:sz w:val="22"/>
              </w:rPr>
              <w:t>+2% (FX-neutral)</w:t>
            </w:r>
          </w:p>
        </w:tc>
        <w:tc>
          <w:tcPr>
            <w:tcW w:type="dxa" w:w="1234"/>
          </w:tcPr>
          <w:p>
            <w:r>
              <w:rPr>
                <w:rFonts w:ascii="Calibri" w:hAnsi="Calibri"/>
                <w:sz w:val="22"/>
              </w:rPr>
              <w:t>+5% (FX-neutral)</w:t>
            </w:r>
          </w:p>
        </w:tc>
        <w:tc>
          <w:tcPr>
            <w:tcW w:type="dxa" w:w="1234"/>
          </w:tcPr>
          <w:p>
            <w:r>
              <w:rPr>
                <w:rFonts w:ascii="Calibri" w:hAnsi="Calibri"/>
                <w:sz w:val="22"/>
              </w:rPr>
              <w:t>~+0.6%</w:t>
            </w:r>
          </w:p>
        </w:tc>
        <w:tc>
          <w:tcPr>
            <w:tcW w:type="dxa" w:w="1234"/>
          </w:tcPr>
          <w:p>
            <w:r>
              <w:rPr>
                <w:rFonts w:ascii="Calibri" w:hAnsi="Calibri"/>
                <w:sz w:val="22"/>
              </w:rPr>
              <w:t>-4.4 pts YoY</w:t>
            </w:r>
          </w:p>
        </w:tc>
        <w:tc>
          <w:tcPr>
            <w:tcW w:type="dxa" w:w="1234"/>
          </w:tcPr>
          <w:p>
            <w:r>
              <w:rPr>
                <w:rFonts w:ascii="Calibri" w:hAnsi="Calibri"/>
                <w:sz w:val="22"/>
              </w:rPr>
              <w:t>Low end of slightly positive to low single-digit (FY)</w:t>
            </w:r>
          </w:p>
        </w:tc>
        <w:tc>
          <w:tcPr>
            <w:tcW w:type="dxa" w:w="1234"/>
          </w:tcPr>
          <w:p>
            <w:r>
              <w:rPr>
                <w:rFonts w:ascii="Calibri" w:hAnsi="Calibri"/>
                <w:sz w:val="22"/>
              </w:rPr>
              <w:t>~At low end</w:t>
            </w:r>
          </w:p>
        </w:tc>
      </w:tr>
      <w:tr>
        <w:tc>
          <w:tcPr>
            <w:tcW w:type="dxa" w:w="1234"/>
          </w:tcPr>
          <w:p>
            <w:r>
              <w:rPr>
                <w:rFonts w:ascii="Calibri" w:hAnsi="Calibri"/>
                <w:sz w:val="22"/>
              </w:rPr>
              <w:t>Transaction Margin $ ($B)</w:t>
            </w:r>
          </w:p>
        </w:tc>
        <w:tc>
          <w:tcPr>
            <w:tcW w:type="dxa" w:w="1234"/>
          </w:tcPr>
          <w:p>
            <w:r>
              <w:rPr>
                <w:rFonts w:ascii="Calibri" w:hAnsi="Calibri"/>
                <w:sz w:val="22"/>
              </w:rPr>
              <w:t>$3.81B</w:t>
            </w:r>
          </w:p>
        </w:tc>
        <w:tc>
          <w:tcPr>
            <w:tcW w:type="dxa" w:w="1234"/>
          </w:tcPr>
          <w:p>
            <w:r>
              <w:rPr>
                <w:rFonts w:ascii="Calibri" w:hAnsi="Calibri"/>
                <w:sz w:val="22"/>
              </w:rPr>
              <w:t>$3.84B</w:t>
            </w:r>
          </w:p>
        </w:tc>
        <w:tc>
          <w:tcPr>
            <w:tcW w:type="dxa" w:w="1234"/>
          </w:tcPr>
          <w:p>
            <w:r>
              <w:rPr>
                <w:rFonts w:ascii="Calibri" w:hAnsi="Calibri"/>
                <w:sz w:val="22"/>
              </w:rPr>
              <w:t>$3.74B</w:t>
            </w:r>
          </w:p>
        </w:tc>
        <w:tc>
          <w:tcPr>
            <w:tcW w:type="dxa" w:w="1234"/>
          </w:tcPr>
          <w:p>
            <w:r>
              <w:rPr>
                <w:rFonts w:ascii="Calibri" w:hAnsi="Calibri"/>
                <w:sz w:val="22"/>
              </w:rPr>
              <w:t>-2.6%</w:t>
            </w:r>
          </w:p>
        </w:tc>
        <w:tc>
          <w:tcPr>
            <w:tcW w:type="dxa" w:w="1234"/>
          </w:tcPr>
          <w:p>
            <w:r>
              <w:rPr>
                <w:rFonts w:ascii="Calibri" w:hAnsi="Calibri"/>
                <w:sz w:val="22"/>
              </w:rPr>
              <w:t>Decline ~2% ex-interest (CN)</w:t>
            </w:r>
          </w:p>
        </w:tc>
        <w:tc>
          <w:tcPr>
            <w:tcW w:type="dxa" w:w="1234"/>
          </w:tcPr>
          <w:p>
            <w:r>
              <w:rPr>
                <w:rFonts w:ascii="Calibri" w:hAnsi="Calibri"/>
                <w:sz w:val="22"/>
              </w:rPr>
              <w:t>~In line with guidance</w:t>
            </w:r>
          </w:p>
        </w:tc>
      </w:tr>
      <w:tr>
        <w:tc>
          <w:tcPr>
            <w:tcW w:type="dxa" w:w="1234"/>
          </w:tcPr>
          <w:p>
            <w:r>
              <w:rPr>
                <w:rFonts w:ascii="Calibri" w:hAnsi="Calibri"/>
                <w:sz w:val="22"/>
              </w:rPr>
              <w:t>Transaction Margin % (%)</w:t>
            </w:r>
          </w:p>
        </w:tc>
        <w:tc>
          <w:tcPr>
            <w:tcW w:type="dxa" w:w="1234"/>
          </w:tcPr>
          <w:p>
            <w:r>
              <w:rPr>
                <w:rFonts w:ascii="Calibri" w:hAnsi="Calibri"/>
                <w:sz w:val="22"/>
              </w:rPr>
              <w:t>45.6%</w:t>
            </w:r>
          </w:p>
        </w:tc>
        <w:tc>
          <w:tcPr>
            <w:tcW w:type="dxa" w:w="1234"/>
          </w:tcPr>
          <w:p>
            <w:r>
              <w:rPr>
                <w:rFonts w:ascii="Calibri" w:hAnsi="Calibri"/>
                <w:sz w:val="22"/>
              </w:rPr>
              <w:t>46.4%</w:t>
            </w:r>
          </w:p>
        </w:tc>
        <w:tc>
          <w:tcPr>
            <w:tcW w:type="dxa" w:w="1234"/>
          </w:tcPr>
          <w:p>
            <w:r>
              <w:rPr>
                <w:rFonts w:ascii="Calibri" w:hAnsi="Calibri"/>
                <w:sz w:val="22"/>
              </w:rPr>
              <w:t>44.2%</w:t>
            </w:r>
          </w:p>
        </w:tc>
        <w:tc>
          <w:tcPr>
            <w:tcW w:type="dxa" w:w="1234"/>
          </w:tcPr>
          <w:p>
            <w:r>
              <w:rPr>
                <w:rFonts w:ascii="Calibri" w:hAnsi="Calibri"/>
                <w:sz w:val="22"/>
              </w:rPr>
              <w:t>-2.2 pts</w:t>
            </w:r>
          </w:p>
        </w:tc>
        <w:tc>
          <w:tcPr>
            <w:tcW w:type="dxa" w:w="1234"/>
          </w:tcPr>
          <w:p>
            <w:r>
              <w:rPr>
                <w:rFonts w:ascii="Calibri" w:hAnsi="Calibri"/>
                <w:sz w:val="22"/>
              </w:rPr>
              <w:t>N/A (implied by TM$ guidance)</w:t>
            </w:r>
          </w:p>
        </w:tc>
        <w:tc>
          <w:tcPr>
            <w:tcW w:type="dxa" w:w="1234"/>
          </w:tcPr>
          <w:p>
            <w:r>
              <w:rPr>
                <w:rFonts w:ascii="Calibri" w:hAnsi="Calibri"/>
                <w:sz w:val="22"/>
              </w:rPr>
              <w:t>N/A</w:t>
            </w:r>
          </w:p>
        </w:tc>
      </w:tr>
      <w:tr>
        <w:tc>
          <w:tcPr>
            <w:tcW w:type="dxa" w:w="1234"/>
          </w:tcPr>
          <w:p>
            <w:r>
              <w:rPr>
                <w:rFonts w:ascii="Calibri" w:hAnsi="Calibri"/>
                <w:sz w:val="22"/>
              </w:rPr>
              <w:t>Active Customer Accounts (M)</w:t>
            </w:r>
          </w:p>
        </w:tc>
        <w:tc>
          <w:tcPr>
            <w:tcW w:type="dxa" w:w="1234"/>
          </w:tcPr>
          <w:p>
            <w:r>
              <w:rPr>
                <w:rFonts w:ascii="Calibri" w:hAnsi="Calibri"/>
                <w:sz w:val="22"/>
              </w:rPr>
              <w:t>439M</w:t>
            </w:r>
          </w:p>
        </w:tc>
        <w:tc>
          <w:tcPr>
            <w:tcW w:type="dxa" w:w="1234"/>
          </w:tcPr>
          <w:p>
            <w:r>
              <w:rPr>
                <w:rFonts w:ascii="Calibri" w:hAnsi="Calibri"/>
                <w:sz w:val="22"/>
              </w:rPr>
              <w:t>438M</w:t>
            </w:r>
          </w:p>
        </w:tc>
        <w:tc>
          <w:tcPr>
            <w:tcW w:type="dxa" w:w="1234"/>
          </w:tcPr>
          <w:p>
            <w:r>
              <w:rPr>
                <w:rFonts w:ascii="Calibri" w:hAnsi="Calibri"/>
                <w:sz w:val="22"/>
              </w:rPr>
              <w:t>440M</w:t>
            </w:r>
          </w:p>
        </w:tc>
        <w:tc>
          <w:tcPr>
            <w:tcW w:type="dxa" w:w="1234"/>
          </w:tcPr>
          <w:p>
            <w:r>
              <w:rPr>
                <w:rFonts w:ascii="Calibri" w:hAnsi="Calibri"/>
                <w:sz w:val="22"/>
              </w:rPr>
              <w:t>+0.5%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Payment Transactions (B)</w:t>
            </w:r>
          </w:p>
        </w:tc>
        <w:tc>
          <w:tcPr>
            <w:tcW w:type="dxa" w:w="1234"/>
          </w:tcPr>
          <w:p>
            <w:r>
              <w:rPr>
                <w:rFonts w:ascii="Calibri" w:hAnsi="Calibri"/>
                <w:sz w:val="22"/>
              </w:rPr>
              <w:t>6.48B</w:t>
            </w:r>
          </w:p>
        </w:tc>
        <w:tc>
          <w:tcPr>
            <w:tcW w:type="dxa" w:w="1234"/>
          </w:tcPr>
          <w:p>
            <w:r>
              <w:rPr>
                <w:rFonts w:ascii="Calibri" w:hAnsi="Calibri"/>
                <w:sz w:val="22"/>
              </w:rPr>
              <w:t>6.23B</w:t>
            </w:r>
          </w:p>
        </w:tc>
        <w:tc>
          <w:tcPr>
            <w:tcW w:type="dxa" w:w="1234"/>
          </w:tcPr>
          <w:p>
            <w:r>
              <w:rPr>
                <w:rFonts w:ascii="Calibri" w:hAnsi="Calibri"/>
                <w:sz w:val="22"/>
              </w:rPr>
              <w:t>6.48B</w:t>
            </w:r>
          </w:p>
        </w:tc>
        <w:tc>
          <w:tcPr>
            <w:tcW w:type="dxa" w:w="1234"/>
          </w:tcPr>
          <w:p>
            <w:r>
              <w:rPr>
                <w:rFonts w:ascii="Calibri" w:hAnsi="Calibri"/>
                <w:sz w:val="22"/>
              </w:rPr>
              <w:t>+4.0%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$0.90B</w:t>
            </w:r>
          </w:p>
        </w:tc>
        <w:tc>
          <w:tcPr>
            <w:tcW w:type="dxa" w:w="1234"/>
          </w:tcPr>
          <w:p>
            <w:r>
              <w:rPr>
                <w:rFonts w:ascii="Calibri" w:hAnsi="Calibri"/>
                <w:sz w:val="22"/>
              </w:rPr>
              <w:t>$0.69B</w:t>
            </w:r>
          </w:p>
        </w:tc>
        <w:tc>
          <w:tcPr>
            <w:tcW w:type="dxa" w:w="1234"/>
          </w:tcPr>
          <w:p>
            <w:r>
              <w:rPr>
                <w:rFonts w:ascii="Calibri" w:hAnsi="Calibri"/>
                <w:sz w:val="22"/>
              </w:rPr>
              <w:t>$0.78B</w:t>
            </w:r>
          </w:p>
        </w:tc>
        <w:tc>
          <w:tcPr>
            <w:tcW w:type="dxa" w:w="1234"/>
          </w:tcPr>
          <w:p>
            <w:r>
              <w:rPr>
                <w:rFonts w:ascii="Calibri" w:hAnsi="Calibri"/>
                <w:sz w:val="22"/>
              </w:rPr>
              <w:t>+12.7%</w:t>
            </w:r>
          </w:p>
        </w:tc>
        <w:tc>
          <w:tcPr>
            <w:tcW w:type="dxa" w:w="1234"/>
          </w:tcPr>
          <w:p>
            <w:r>
              <w:rPr>
                <w:rFonts w:ascii="Calibri" w:hAnsi="Calibri"/>
                <w:sz w:val="22"/>
              </w:rPr>
              <w:t>At least $6B (FY 2026)</w:t>
            </w:r>
          </w:p>
        </w:tc>
        <w:tc>
          <w:tcPr>
            <w:tcW w:type="dxa" w:w="1234"/>
          </w:tcPr>
          <w:p>
            <w:r>
              <w:rPr>
                <w:rFonts w:ascii="Calibri" w:hAnsi="Calibri"/>
                <w:sz w:val="22"/>
              </w:rPr>
              <w:t>N/A (FY metric)</w:t>
            </w:r>
          </w:p>
        </w:tc>
      </w:tr>
    </w:tbl>
    <w:p>
      <w:r>
        <w:rPr>
          <w:rFonts w:ascii="Calibri" w:hAnsi="Calibri"/>
          <w:i/>
          <w:color w:val="525866"/>
          <w:sz w:val="22"/>
        </w:rPr>
        <w:t>Sources: Visible Alpha Consensus and Actuals Data. Q2 2026 consensus estimates as of July 27, 2026. Guidance per Q1 2026 earnings call (May 5, 2026). FX-neutral branded checkout growth consensus of ~+0.6% per Visible Alpha. Non-GAAP EPS guidance midpoint of ~$1.29 derived from Q1 actual of $1.34 less guided ~9% decline.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$1.34</w:t>
            </w:r>
          </w:p>
        </w:tc>
        <w:tc>
          <w:tcPr>
            <w:tcW w:type="dxa" w:w="1440"/>
          </w:tcPr>
          <w:p>
            <w:r>
              <w:rPr>
                <w:rFonts w:ascii="Calibri" w:hAnsi="Calibri"/>
                <w:sz w:val="22"/>
              </w:rPr>
              <w:t>$1.27</w:t>
            </w:r>
          </w:p>
        </w:tc>
        <w:tc>
          <w:tcPr>
            <w:tcW w:type="dxa" w:w="1440"/>
          </w:tcPr>
          <w:p>
            <w:r>
              <w:rPr>
                <w:rFonts w:ascii="Calibri" w:hAnsi="Calibri"/>
                <w:b/>
                <w:color w:val="30A46C"/>
                <w:sz w:val="22"/>
              </w:rPr>
              <w:t>+5.5%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Revenue</w:t>
            </w:r>
          </w:p>
        </w:tc>
        <w:tc>
          <w:tcPr>
            <w:tcW w:type="dxa" w:w="1440"/>
          </w:tcPr>
          <w:p>
            <w:r>
              <w:rPr>
                <w:rFonts w:ascii="Calibri" w:hAnsi="Calibri"/>
                <w:sz w:val="22"/>
              </w:rPr>
              <w:t>$8.35B</w:t>
            </w:r>
          </w:p>
        </w:tc>
        <w:tc>
          <w:tcPr>
            <w:tcW w:type="dxa" w:w="1440"/>
          </w:tcPr>
          <w:p>
            <w:r>
              <w:rPr>
                <w:rFonts w:ascii="Calibri" w:hAnsi="Calibri"/>
                <w:sz w:val="22"/>
              </w:rPr>
              <w:t>$8.05B</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$1.38</w:t>
            </w:r>
          </w:p>
        </w:tc>
        <w:tc>
          <w:tcPr>
            <w:tcW w:type="dxa" w:w="1440"/>
          </w:tcPr>
          <w:p>
            <w:r>
              <w:rPr>
                <w:rFonts w:ascii="Calibri" w:hAnsi="Calibri"/>
                <w:sz w:val="22"/>
              </w:rPr>
              <w:t>$1.49</w:t>
            </w:r>
          </w:p>
        </w:tc>
        <w:tc>
          <w:tcPr>
            <w:tcW w:type="dxa" w:w="1440"/>
          </w:tcPr>
          <w:p>
            <w:r>
              <w:rPr>
                <w:rFonts w:ascii="Calibri" w:hAnsi="Calibri"/>
                <w:b/>
                <w:color w:val="E5484D"/>
                <w:sz w:val="22"/>
              </w:rPr>
              <w:t>-7.4%</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Net Revenue</w:t>
            </w:r>
          </w:p>
        </w:tc>
        <w:tc>
          <w:tcPr>
            <w:tcW w:type="dxa" w:w="1440"/>
          </w:tcPr>
          <w:p>
            <w:r>
              <w:rPr>
                <w:rFonts w:ascii="Calibri" w:hAnsi="Calibri"/>
                <w:sz w:val="22"/>
              </w:rPr>
              <w:t>$8.68B</w:t>
            </w:r>
          </w:p>
        </w:tc>
        <w:tc>
          <w:tcPr>
            <w:tcW w:type="dxa" w:w="1440"/>
          </w:tcPr>
          <w:p>
            <w:r>
              <w:rPr>
                <w:rFonts w:ascii="Calibri" w:hAnsi="Calibri"/>
                <w:sz w:val="22"/>
              </w:rPr>
              <w:t>$8.78B</w:t>
            </w:r>
          </w:p>
        </w:tc>
        <w:tc>
          <w:tcPr>
            <w:tcW w:type="dxa" w:w="1440"/>
          </w:tcPr>
          <w:p>
            <w:r>
              <w:rPr>
                <w:rFonts w:ascii="Calibri" w:hAnsi="Calibri"/>
                <w:b/>
                <w:color w:val="E5484D"/>
                <w:sz w:val="22"/>
              </w:rPr>
              <w:t>-1.1%</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$1.50</w:t>
            </w:r>
          </w:p>
        </w:tc>
        <w:tc>
          <w:tcPr>
            <w:tcW w:type="dxa" w:w="1440"/>
          </w:tcPr>
          <w:p>
            <w:r>
              <w:rPr>
                <w:rFonts w:ascii="Calibri" w:hAnsi="Calibri"/>
                <w:sz w:val="22"/>
              </w:rPr>
              <w:t>$1.41</w:t>
            </w:r>
          </w:p>
        </w:tc>
        <w:tc>
          <w:tcPr>
            <w:tcW w:type="dxa" w:w="1440"/>
          </w:tcPr>
          <w:p>
            <w:r>
              <w:rPr>
                <w:rFonts w:ascii="Calibri" w:hAnsi="Calibri"/>
                <w:b/>
                <w:color w:val="30A46C"/>
                <w:sz w:val="22"/>
              </w:rPr>
              <w:t>+6.5%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Revenue</w:t>
            </w:r>
          </w:p>
        </w:tc>
        <w:tc>
          <w:tcPr>
            <w:tcW w:type="dxa" w:w="1440"/>
          </w:tcPr>
          <w:p>
            <w:r>
              <w:rPr>
                <w:rFonts w:ascii="Calibri" w:hAnsi="Calibri"/>
                <w:sz w:val="22"/>
              </w:rPr>
              <w:t>$8.42B</w:t>
            </w:r>
          </w:p>
        </w:tc>
        <w:tc>
          <w:tcPr>
            <w:tcW w:type="dxa" w:w="1440"/>
          </w:tcPr>
          <w:p>
            <w:r>
              <w:rPr>
                <w:rFonts w:ascii="Calibri" w:hAnsi="Calibri"/>
                <w:sz w:val="22"/>
              </w:rPr>
              <w:t>$8.24B</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$1.58</w:t>
            </w:r>
          </w:p>
        </w:tc>
        <w:tc>
          <w:tcPr>
            <w:tcW w:type="dxa" w:w="1440"/>
          </w:tcPr>
          <w:p>
            <w:r>
              <w:rPr>
                <w:rFonts w:ascii="Calibri" w:hAnsi="Calibri"/>
                <w:sz w:val="22"/>
              </w:rPr>
              <w:t>$1.47</w:t>
            </w:r>
          </w:p>
        </w:tc>
        <w:tc>
          <w:tcPr>
            <w:tcW w:type="dxa" w:w="1440"/>
          </w:tcPr>
          <w:p>
            <w:r>
              <w:rPr>
                <w:rFonts w:ascii="Calibri" w:hAnsi="Calibri"/>
                <w:b/>
                <w:color w:val="30A46C"/>
                <w:sz w:val="22"/>
              </w:rPr>
              <w:t>+7.5%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Revenue</w:t>
            </w:r>
          </w:p>
        </w:tc>
        <w:tc>
          <w:tcPr>
            <w:tcW w:type="dxa" w:w="1440"/>
          </w:tcPr>
          <w:p>
            <w:r>
              <w:rPr>
                <w:rFonts w:ascii="Calibri" w:hAnsi="Calibri"/>
                <w:sz w:val="22"/>
              </w:rPr>
              <w:t>$8.29B</w:t>
            </w:r>
          </w:p>
        </w:tc>
        <w:tc>
          <w:tcPr>
            <w:tcW w:type="dxa" w:w="1440"/>
          </w:tcPr>
          <w:p>
            <w:r>
              <w:rPr>
                <w:rFonts w:ascii="Calibri" w:hAnsi="Calibri"/>
                <w:sz w:val="22"/>
              </w:rPr>
              <w:t>$8.06B</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$1.54</w:t>
            </w:r>
          </w:p>
        </w:tc>
        <w:tc>
          <w:tcPr>
            <w:tcW w:type="dxa" w:w="1440"/>
          </w:tcPr>
          <w:p>
            <w:r>
              <w:rPr>
                <w:rFonts w:ascii="Calibri" w:hAnsi="Calibri"/>
                <w:sz w:val="22"/>
              </w:rPr>
              <w:t>$1.37</w:t>
            </w:r>
          </w:p>
        </w:tc>
        <w:tc>
          <w:tcPr>
            <w:tcW w:type="dxa" w:w="1440"/>
          </w:tcPr>
          <w:p>
            <w:r>
              <w:rPr>
                <w:rFonts w:ascii="Calibri" w:hAnsi="Calibri"/>
                <w:b/>
                <w:color w:val="30A46C"/>
                <w:sz w:val="22"/>
              </w:rPr>
              <w:t>+12.5%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Revenue</w:t>
            </w:r>
          </w:p>
        </w:tc>
        <w:tc>
          <w:tcPr>
            <w:tcW w:type="dxa" w:w="1440"/>
          </w:tcPr>
          <w:p>
            <w:r>
              <w:rPr>
                <w:rFonts w:ascii="Calibri" w:hAnsi="Calibri"/>
                <w:sz w:val="22"/>
              </w:rPr>
              <w:t>$7.79B</w:t>
            </w:r>
          </w:p>
        </w:tc>
        <w:tc>
          <w:tcPr>
            <w:tcW w:type="dxa" w:w="1440"/>
          </w:tcPr>
          <w:p>
            <w:r>
              <w:rPr>
                <w:rFonts w:ascii="Calibri" w:hAnsi="Calibri"/>
                <w:sz w:val="22"/>
              </w:rPr>
              <w:t>$7.86B</w:t>
            </w:r>
          </w:p>
        </w:tc>
        <w:tc>
          <w:tcPr>
            <w:tcW w:type="dxa" w:w="1440"/>
          </w:tcPr>
          <w:p>
            <w:r>
              <w:rPr>
                <w:rFonts w:ascii="Calibri" w:hAnsi="Calibri"/>
                <w:b/>
                <w:color w:val="E5484D"/>
                <w:sz w:val="22"/>
              </w:rPr>
              <w:t>-0.9%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$1.43</w:t>
            </w:r>
          </w:p>
        </w:tc>
        <w:tc>
          <w:tcPr>
            <w:tcW w:type="dxa" w:w="1440"/>
          </w:tcPr>
          <w:p>
            <w:r>
              <w:rPr>
                <w:rFonts w:ascii="Calibri" w:hAnsi="Calibri"/>
                <w:sz w:val="22"/>
              </w:rPr>
              <w:t>$1.35</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Revenue</w:t>
            </w:r>
          </w:p>
        </w:tc>
        <w:tc>
          <w:tcPr>
            <w:tcW w:type="dxa" w:w="1440"/>
          </w:tcPr>
          <w:p>
            <w:r>
              <w:rPr>
                <w:rFonts w:ascii="Calibri" w:hAnsi="Calibri"/>
                <w:sz w:val="22"/>
              </w:rPr>
              <w:t>$8.37B</w:t>
            </w:r>
          </w:p>
        </w:tc>
        <w:tc>
          <w:tcPr>
            <w:tcW w:type="dxa" w:w="1440"/>
          </w:tcPr>
          <w:p>
            <w:r>
              <w:rPr>
                <w:rFonts w:ascii="Calibri" w:hAnsi="Calibri"/>
                <w:sz w:val="22"/>
              </w:rPr>
              <w:t>$8.26B</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$1.44</w:t>
            </w:r>
          </w:p>
        </w:tc>
        <w:tc>
          <w:tcPr>
            <w:tcW w:type="dxa" w:w="1440"/>
          </w:tcPr>
          <w:p>
            <w:r>
              <w:rPr>
                <w:rFonts w:ascii="Calibri" w:hAnsi="Calibri"/>
                <w:sz w:val="22"/>
              </w:rPr>
              <w:t>$1.27</w:t>
            </w:r>
          </w:p>
        </w:tc>
        <w:tc>
          <w:tcPr>
            <w:tcW w:type="dxa" w:w="1440"/>
          </w:tcPr>
          <w:p>
            <w:r>
              <w:rPr>
                <w:rFonts w:ascii="Calibri" w:hAnsi="Calibri"/>
                <w:b/>
                <w:color w:val="30A46C"/>
                <w:sz w:val="22"/>
              </w:rPr>
              <w:t>+13.2%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Revenue</w:t>
            </w:r>
          </w:p>
        </w:tc>
        <w:tc>
          <w:tcPr>
            <w:tcW w:type="dxa" w:w="1440"/>
          </w:tcPr>
          <w:p>
            <w:r>
              <w:rPr>
                <w:rFonts w:ascii="Calibri" w:hAnsi="Calibri"/>
                <w:sz w:val="22"/>
              </w:rPr>
              <w:t>$7.85B</w:t>
            </w:r>
          </w:p>
        </w:tc>
        <w:tc>
          <w:tcPr>
            <w:tcW w:type="dxa" w:w="1440"/>
          </w:tcPr>
          <w:p>
            <w:r>
              <w:rPr>
                <w:rFonts w:ascii="Calibri" w:hAnsi="Calibri"/>
                <w:sz w:val="22"/>
              </w:rPr>
              <w:t>$7.88B</w:t>
            </w:r>
          </w:p>
        </w:tc>
        <w:tc>
          <w:tcPr>
            <w:tcW w:type="dxa" w:w="1440"/>
          </w:tcPr>
          <w:p>
            <w:r>
              <w:rPr>
                <w:rFonts w:ascii="Calibri" w:hAnsi="Calibri"/>
                <w:b/>
                <w:color w:val="E5484D"/>
                <w:sz w:val="22"/>
              </w:rPr>
              <w:t>-0.4%</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$1.43</w:t>
            </w:r>
          </w:p>
        </w:tc>
        <w:tc>
          <w:tcPr>
            <w:tcW w:type="dxa" w:w="1440"/>
          </w:tcPr>
          <w:p>
            <w:r>
              <w:rPr>
                <w:rFonts w:ascii="Calibri" w:hAnsi="Calibri"/>
                <w:sz w:val="22"/>
              </w:rPr>
              <w:t>$1.21</w:t>
            </w:r>
          </w:p>
        </w:tc>
        <w:tc>
          <w:tcPr>
            <w:tcW w:type="dxa" w:w="1440"/>
          </w:tcPr>
          <w:p>
            <w:r>
              <w:rPr>
                <w:rFonts w:ascii="Calibri" w:hAnsi="Calibri"/>
                <w:b/>
                <w:color w:val="30A46C"/>
                <w:sz w:val="22"/>
              </w:rPr>
              <w:t>+18.2%</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Revenue</w:t>
            </w:r>
          </w:p>
        </w:tc>
        <w:tc>
          <w:tcPr>
            <w:tcW w:type="dxa" w:w="1440"/>
          </w:tcPr>
          <w:p>
            <w:r>
              <w:rPr>
                <w:rFonts w:ascii="Calibri" w:hAnsi="Calibri"/>
                <w:sz w:val="22"/>
              </w:rPr>
              <w:t>$7.89B</w:t>
            </w:r>
          </w:p>
        </w:tc>
        <w:tc>
          <w:tcPr>
            <w:tcW w:type="dxa" w:w="1440"/>
          </w:tcPr>
          <w:p>
            <w:r>
              <w:rPr>
                <w:rFonts w:ascii="Calibri" w:hAnsi="Calibri"/>
                <w:sz w:val="22"/>
              </w:rPr>
              <w:t>$7.82B</w:t>
            </w:r>
          </w:p>
        </w:tc>
        <w:tc>
          <w:tcPr>
            <w:tcW w:type="dxa" w:w="1440"/>
          </w:tcPr>
          <w:p>
            <w:r>
              <w:rPr>
                <w:rFonts w:ascii="Calibri" w:hAnsi="Calibri"/>
                <w:b/>
                <w:color w:val="30A46C"/>
                <w:sz w:val="22"/>
              </w:rPr>
              <w:t>+0.9%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PYPL has beaten non-GAAP EPS consensus in 7 of the last 8 quarters, with an average beat of ~9%; the one miss (Q4 2025) was driven by a sharp guidance cut that reset expectations. Revenue beats are less consistent (5 of 8), suggesting the EPS beat pattern is more about cost discipline and buybacks than top-line outperformance.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(May 5, 2026) — no post-earnings 8-K, conference update, or pre-announcement has altered the numbers. </w:t>
      </w:r>
      <w:r>
        <w:rPr>
          <w:rFonts w:ascii="Calibri" w:hAnsi="Calibri"/>
          <w:b/>
          <w:color w:val="525866"/>
          <w:sz w:val="22"/>
        </w:rPr>
        <w:t>Tone has been cautious but stable</w:t>
      </w:r>
      <w:r>
        <w:rPr>
          <w:rFonts w:ascii="Calibri" w:hAnsi="Calibri"/>
          <w:color w:val="525866"/>
          <w:sz w:val="22"/>
        </w:rPr>
        <w:t>: CEO Lores acknowledged branded checkout running at the low end of full-year guidance quarter-to-date, and the CFO’s prior commentary at Wolfe explicitly pushed back against hopes for a one-year reset, framing the elevated investment period as multi-year.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Q2 2026 Guidance (Q1 Earnings Call, May 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Revenue Growth (CN)</w:t>
            </w:r>
          </w:p>
        </w:tc>
        <w:tc>
          <w:tcPr>
            <w:tcW w:type="dxa" w:w="1728"/>
          </w:tcPr>
          <w:p>
            <w:r>
              <w:rPr>
                <w:rFonts w:ascii="Calibri" w:hAnsi="Calibri"/>
                <w:sz w:val="22"/>
              </w:rPr>
              <w:t>Low single-digit growth</w:t>
            </w:r>
          </w:p>
        </w:tc>
        <w:tc>
          <w:tcPr>
            <w:tcW w:type="dxa" w:w="1728"/>
          </w:tcPr>
          <w:p>
            <w:r>
              <w:rPr>
                <w:rFonts w:ascii="Calibri" w:hAnsi="Calibri"/>
                <w:sz w:val="22"/>
              </w:rPr>
              <w:t>—</w:t>
            </w:r>
          </w:p>
        </w:tc>
        <w:tc>
          <w:tcPr>
            <w:tcW w:type="dxa" w:w="1728"/>
          </w:tcPr>
          <w:p>
            <w:r>
              <w:rPr>
                <w:rFonts w:ascii="Calibri" w:hAnsi="Calibri"/>
                <w:sz w:val="22"/>
              </w:rPr>
              <w:t>~+2.2% YoY</w:t>
            </w:r>
          </w:p>
        </w:tc>
        <w:tc>
          <w:tcPr>
            <w:tcW w:type="dxa" w:w="1728"/>
          </w:tcPr>
          <w:p>
            <w:r>
              <w:rPr>
                <w:rFonts w:ascii="Calibri" w:hAnsi="Calibri"/>
                <w:sz w:val="22"/>
              </w:rPr>
              <w:t>No post-earnings update; consensus in line with guidance</w:t>
            </w:r>
          </w:p>
        </w:tc>
      </w:tr>
      <w:tr>
        <w:tc>
          <w:tcPr>
            <w:tcW w:type="dxa" w:w="1728"/>
          </w:tcPr>
          <w:p>
            <w:r>
              <w:rPr>
                <w:rFonts w:ascii="Calibri" w:hAnsi="Calibri"/>
                <w:sz w:val="22"/>
              </w:rPr>
              <w:t>Transaction Margin $ ex-Interest (CN)</w:t>
            </w:r>
          </w:p>
        </w:tc>
        <w:tc>
          <w:tcPr>
            <w:tcW w:type="dxa" w:w="1728"/>
          </w:tcPr>
          <w:p>
            <w:r>
              <w:rPr>
                <w:rFonts w:ascii="Calibri" w:hAnsi="Calibri"/>
                <w:sz w:val="22"/>
              </w:rPr>
              <w:t>Decline ~2% (low single-digit)</w:t>
            </w:r>
          </w:p>
        </w:tc>
        <w:tc>
          <w:tcPr>
            <w:tcW w:type="dxa" w:w="1728"/>
          </w:tcPr>
          <w:p>
            <w:r>
              <w:rPr>
                <w:rFonts w:ascii="Calibri" w:hAnsi="Calibri"/>
                <w:sz w:val="22"/>
              </w:rPr>
              <w:t>—</w:t>
            </w:r>
          </w:p>
        </w:tc>
        <w:tc>
          <w:tcPr>
            <w:tcW w:type="dxa" w:w="1728"/>
          </w:tcPr>
          <w:p>
            <w:r>
              <w:rPr>
                <w:rFonts w:ascii="Calibri" w:hAnsi="Calibri"/>
                <w:sz w:val="22"/>
              </w:rPr>
              <w:t>$3.74B (-2.6% YoY)</w:t>
            </w:r>
          </w:p>
        </w:tc>
        <w:tc>
          <w:tcPr>
            <w:tcW w:type="dxa" w:w="1728"/>
          </w:tcPr>
          <w:p>
            <w:r>
              <w:rPr>
                <w:rFonts w:ascii="Calibri" w:hAnsi="Calibri"/>
                <w:sz w:val="22"/>
              </w:rPr>
              <w:t>Consensus slightly below guidance midpoint; investment ramp more pronounced in Q2</w:t>
            </w:r>
          </w:p>
        </w:tc>
      </w:tr>
      <w:tr>
        <w:tc>
          <w:tcPr>
            <w:tcW w:type="dxa" w:w="1728"/>
          </w:tcPr>
          <w:p>
            <w:r>
              <w:rPr>
                <w:rFonts w:ascii="Calibri" w:hAnsi="Calibri"/>
                <w:sz w:val="22"/>
              </w:rPr>
              <w:t>Non-GAAP EPS</w:t>
            </w:r>
          </w:p>
        </w:tc>
        <w:tc>
          <w:tcPr>
            <w:tcW w:type="dxa" w:w="1728"/>
          </w:tcPr>
          <w:p>
            <w:r>
              <w:rPr>
                <w:rFonts w:ascii="Calibri" w:hAnsi="Calibri"/>
                <w:sz w:val="22"/>
              </w:rPr>
              <w:t>Decline ~9% (high single-digit)</w:t>
            </w:r>
          </w:p>
        </w:tc>
        <w:tc>
          <w:tcPr>
            <w:tcW w:type="dxa" w:w="1728"/>
          </w:tcPr>
          <w:p>
            <w:r>
              <w:rPr>
                <w:rFonts w:ascii="Calibri" w:hAnsi="Calibri"/>
                <w:sz w:val="22"/>
              </w:rPr>
              <w:t>—</w:t>
            </w:r>
          </w:p>
        </w:tc>
        <w:tc>
          <w:tcPr>
            <w:tcW w:type="dxa" w:w="1728"/>
          </w:tcPr>
          <w:p>
            <w:r>
              <w:rPr>
                <w:rFonts w:ascii="Calibri" w:hAnsi="Calibri"/>
                <w:sz w:val="22"/>
              </w:rPr>
              <w:t>$1.42 (-10.1% vs. Q2 2025)</w:t>
            </w:r>
          </w:p>
        </w:tc>
        <w:tc>
          <w:tcPr>
            <w:tcW w:type="dxa" w:w="1728"/>
          </w:tcPr>
          <w:p>
            <w:r>
              <w:rPr>
                <w:rFonts w:ascii="Calibri" w:hAnsi="Calibri"/>
                <w:sz w:val="22"/>
              </w:rPr>
              <w:t>Consensus ~10% above implied guidance midpoint (~$1.29); typical post-guidance conservatism</w:t>
            </w:r>
          </w:p>
        </w:tc>
      </w:tr>
      <w:tr>
        <w:tc>
          <w:tcPr>
            <w:tcW w:type="dxa" w:w="1728"/>
          </w:tcPr>
          <w:p>
            <w:r>
              <w:rPr>
                <w:rFonts w:ascii="Calibri" w:hAnsi="Calibri"/>
                <w:sz w:val="22"/>
              </w:rPr>
              <w:t>Non-Transaction OpEx Growth</w:t>
            </w:r>
          </w:p>
        </w:tc>
        <w:tc>
          <w:tcPr>
            <w:tcW w:type="dxa" w:w="1728"/>
          </w:tcPr>
          <w:p>
            <w:r>
              <w:rPr>
                <w:rFonts w:ascii="Calibri" w:hAnsi="Calibri"/>
                <w:sz w:val="22"/>
              </w:rPr>
              <w:t>Mid-single-digit growth</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OpEx profile front-half weighted; Q1 already ran 8% above guidance</w:t>
            </w:r>
          </w:p>
        </w:tc>
      </w:tr>
      <w:tr>
        <w:tc>
          <w:tcPr>
            <w:tcW w:type="dxa" w:w="1728"/>
          </w:tcPr>
          <w:p>
            <w:r>
              <w:rPr>
                <w:rFonts w:ascii="Calibri" w:hAnsi="Calibri"/>
                <w:sz w:val="22"/>
              </w:rPr>
              <w:t>FY 2026 Non-GAAP EPS</w:t>
            </w:r>
          </w:p>
        </w:tc>
        <w:tc>
          <w:tcPr>
            <w:tcW w:type="dxa" w:w="1728"/>
          </w:tcPr>
          <w:p>
            <w:r>
              <w:rPr>
                <w:rFonts w:ascii="Calibri" w:hAnsi="Calibri"/>
                <w:sz w:val="22"/>
              </w:rPr>
              <w:t>Down low single-digit to slightly positive</w:t>
            </w:r>
          </w:p>
        </w:tc>
        <w:tc>
          <w:tcPr>
            <w:tcW w:type="dxa" w:w="1728"/>
          </w:tcPr>
          <w:p>
            <w:r>
              <w:rPr>
                <w:rFonts w:ascii="Calibri" w:hAnsi="Calibri"/>
                <w:sz w:val="22"/>
              </w:rPr>
              <w:t>—</w:t>
            </w:r>
          </w:p>
        </w:tc>
        <w:tc>
          <w:tcPr>
            <w:tcW w:type="dxa" w:w="1728"/>
          </w:tcPr>
          <w:p>
            <w:r>
              <w:rPr>
                <w:rFonts w:ascii="Calibri" w:hAnsi="Calibri"/>
                <w:sz w:val="22"/>
              </w:rPr>
              <w:t>$5.79</w:t>
            </w:r>
          </w:p>
        </w:tc>
        <w:tc>
          <w:tcPr>
            <w:tcW w:type="dxa" w:w="1728"/>
          </w:tcPr>
          <w:p>
            <w:r>
              <w:rPr>
                <w:rFonts w:ascii="Calibri" w:hAnsi="Calibri"/>
                <w:sz w:val="22"/>
              </w:rPr>
              <w:t>Reiterated at Q1; consensus near midpoint of range; no post-earnings revision</w:t>
            </w:r>
          </w:p>
        </w:tc>
      </w:tr>
      <w:tr>
        <w:tc>
          <w:tcPr>
            <w:tcW w:type="dxa" w:w="1728"/>
          </w:tcPr>
          <w:p>
            <w:r>
              <w:rPr>
                <w:rFonts w:ascii="Calibri" w:hAnsi="Calibri"/>
                <w:sz w:val="22"/>
              </w:rPr>
              <w:t>FY 2026 Free Cash Flow</w:t>
            </w:r>
          </w:p>
        </w:tc>
        <w:tc>
          <w:tcPr>
            <w:tcW w:type="dxa" w:w="1728"/>
          </w:tcPr>
          <w:p>
            <w:r>
              <w:rPr>
                <w:rFonts w:ascii="Calibri" w:hAnsi="Calibri"/>
                <w:sz w:val="22"/>
              </w:rPr>
              <w:t>At least $6B</w:t>
            </w:r>
          </w:p>
        </w:tc>
        <w:tc>
          <w:tcPr>
            <w:tcW w:type="dxa" w:w="1728"/>
          </w:tcPr>
          <w:p>
            <w:r>
              <w:rPr>
                <w:rFonts w:ascii="Calibri" w:hAnsi="Calibri"/>
                <w:sz w:val="22"/>
              </w:rPr>
              <w:t>—</w:t>
            </w:r>
          </w:p>
        </w:tc>
        <w:tc>
          <w:tcPr>
            <w:tcW w:type="dxa" w:w="1728"/>
          </w:tcPr>
          <w:p>
            <w:r>
              <w:rPr>
                <w:rFonts w:ascii="Calibri" w:hAnsi="Calibri"/>
                <w:sz w:val="22"/>
              </w:rPr>
              <w:t>$5.41B</w:t>
            </w:r>
          </w:p>
        </w:tc>
        <w:tc>
          <w:tcPr>
            <w:tcW w:type="dxa" w:w="1728"/>
          </w:tcPr>
          <w:p>
            <w:r>
              <w:rPr>
                <w:rFonts w:ascii="Calibri" w:hAnsi="Calibri"/>
                <w:sz w:val="22"/>
              </w:rPr>
              <w:t>Consensus below guidance floor; likely reflects Q1 FCF seasonality and conservative modeling</w:t>
            </w:r>
          </w:p>
        </w:tc>
      </w:tr>
      <w:tr>
        <w:tc>
          <w:tcPr>
            <w:tcW w:type="dxa" w:w="1728"/>
          </w:tcPr>
          <w:p>
            <w:r>
              <w:rPr>
                <w:rFonts w:ascii="Calibri" w:hAnsi="Calibri"/>
                <w:sz w:val="22"/>
              </w:rPr>
              <w:t>Branded Checkout TPV Growth (FY, FX-Neutral)</w:t>
            </w:r>
          </w:p>
        </w:tc>
        <w:tc>
          <w:tcPr>
            <w:tcW w:type="dxa" w:w="1728"/>
          </w:tcPr>
          <w:p>
            <w:r>
              <w:rPr>
                <w:rFonts w:ascii="Calibri" w:hAnsi="Calibri"/>
                <w:sz w:val="22"/>
              </w:rPr>
              <w:t>Slightly positive to low single-digit</w:t>
            </w:r>
          </w:p>
        </w:tc>
        <w:tc>
          <w:tcPr>
            <w:tcW w:type="dxa" w:w="1728"/>
          </w:tcPr>
          <w:p>
            <w:r>
              <w:rPr>
                <w:rFonts w:ascii="Calibri" w:hAnsi="Calibri"/>
                <w:sz w:val="22"/>
              </w:rPr>
              <w:t>—</w:t>
            </w:r>
          </w:p>
        </w:tc>
        <w:tc>
          <w:tcPr>
            <w:tcW w:type="dxa" w:w="1728"/>
          </w:tcPr>
          <w:p>
            <w:r>
              <w:rPr>
                <w:rFonts w:ascii="Calibri" w:hAnsi="Calibri"/>
                <w:sz w:val="22"/>
              </w:rPr>
              <w:t>~+1.5% FX-neutral (FY)</w:t>
            </w:r>
          </w:p>
        </w:tc>
        <w:tc>
          <w:tcPr>
            <w:tcW w:type="dxa" w:w="1728"/>
          </w:tcPr>
          <w:p>
            <w:r>
              <w:rPr>
                <w:rFonts w:ascii="Calibri" w:hAnsi="Calibri"/>
                <w:sz w:val="22"/>
              </w:rPr>
              <w:t>QTD trends at low end of range per Q1 call; travel softness and European weakness cited as headwinds</w:t>
            </w:r>
          </w:p>
        </w:tc>
      </w:tr>
    </w:tbl>
    <w:p>
      <w:r>
        <w:rPr>
          <w:rFonts w:ascii="Calibri" w:hAnsi="Calibri"/>
          <w:i/>
          <w:color w:val="525866"/>
          <w:sz w:val="22"/>
        </w:rPr>
        <w:t>Source: Q1 2026 Earnings Call transcript (May 5, 2026); Visible Alpha Consensus and Actuals Data. No post-earnings guidance revisions identified.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EPS consensus has barely moved from the post-earnings baseline, suggesting the street accepted management’s guidance at face value. </w:t>
      </w:r>
      <w:r>
        <w:rPr>
          <w:rFonts w:ascii="Calibri" w:hAnsi="Calibri"/>
          <w:b/>
          <w:color w:val="525866"/>
          <w:sz w:val="22"/>
        </w:rPr>
        <w:t>The FY 2026 EPS consensus of $5.79 sits near the midpoint of guidance</w:t>
      </w:r>
      <w:r>
        <w:rPr>
          <w:rFonts w:ascii="Calibri" w:hAnsi="Calibri"/>
          <w:color w:val="525866"/>
          <w:sz w:val="22"/>
        </w:rPr>
        <w:t xml:space="preserve"> (down low single-digit to slightly positive), implying no meaningful revision risk from the Q2 print unless management changes full-year tone.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Non-GAAP EPS — Q2 2026</w:t>
            </w:r>
          </w:p>
        </w:tc>
        <w:tc>
          <w:tcPr>
            <w:tcW w:type="dxa" w:w="1080"/>
          </w:tcPr>
          <w:p>
            <w:r>
              <w:rPr>
                <w:rFonts w:ascii="Calibri" w:hAnsi="Calibri"/>
                <w:sz w:val="22"/>
              </w:rPr>
              <w:t>$1.38</w:t>
            </w:r>
          </w:p>
        </w:tc>
        <w:tc>
          <w:tcPr>
            <w:tcW w:type="dxa" w:w="1080"/>
          </w:tcPr>
          <w:p>
            <w:r>
              <w:rPr>
                <w:rFonts w:ascii="Calibri" w:hAnsi="Calibri"/>
                <w:sz w:val="22"/>
              </w:rPr>
              <w:t>$1.42</w:t>
            </w:r>
          </w:p>
        </w:tc>
        <w:tc>
          <w:tcPr>
            <w:tcW w:type="dxa" w:w="1080"/>
          </w:tcPr>
          <w:p>
            <w:r>
              <w:rPr>
                <w:rFonts w:ascii="Calibri" w:hAnsi="Calibri"/>
                <w:b/>
                <w:color w:val="30A46C"/>
                <w:sz w:val="22"/>
              </w:rPr>
              <w:t>+2.9%</w:t>
            </w:r>
          </w:p>
        </w:tc>
        <w:tc>
          <w:tcPr>
            <w:tcW w:type="dxa" w:w="1080"/>
          </w:tcPr>
          <w:p>
            <w:r>
              <w:rPr>
                <w:rFonts w:ascii="Calibri" w:hAnsi="Calibri"/>
                <w:sz w:val="22"/>
              </w:rPr>
              <w:t>~$1.29 (down ~9%)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above guidance midpoint</w:t>
            </w:r>
          </w:p>
        </w:tc>
      </w:tr>
      <w:tr>
        <w:tc>
          <w:tcPr>
            <w:tcW w:type="dxa" w:w="1080"/>
          </w:tcPr>
          <w:p>
            <w:r>
              <w:rPr>
                <w:rFonts w:ascii="Calibri" w:hAnsi="Calibri"/>
                <w:sz w:val="22"/>
              </w:rPr>
              <w:t>Non-GAAP EPS — FY 2026</w:t>
            </w:r>
          </w:p>
        </w:tc>
        <w:tc>
          <w:tcPr>
            <w:tcW w:type="dxa" w:w="1080"/>
          </w:tcPr>
          <w:p>
            <w:r>
              <w:rPr>
                <w:rFonts w:ascii="Calibri" w:hAnsi="Calibri"/>
                <w:sz w:val="22"/>
              </w:rPr>
              <w:t>$5.69</w:t>
            </w:r>
          </w:p>
        </w:tc>
        <w:tc>
          <w:tcPr>
            <w:tcW w:type="dxa" w:w="1080"/>
          </w:tcPr>
          <w:p>
            <w:r>
              <w:rPr>
                <w:rFonts w:ascii="Calibri" w:hAnsi="Calibri"/>
                <w:sz w:val="22"/>
              </w:rPr>
              <w:t>$5.79</w:t>
            </w:r>
          </w:p>
        </w:tc>
        <w:tc>
          <w:tcPr>
            <w:tcW w:type="dxa" w:w="1080"/>
          </w:tcPr>
          <w:p>
            <w:r>
              <w:rPr>
                <w:rFonts w:ascii="Calibri" w:hAnsi="Calibri"/>
                <w:b/>
                <w:color w:val="30A46C"/>
                <w:sz w:val="22"/>
              </w:rPr>
              <w:t>+1.8%</w:t>
            </w:r>
          </w:p>
        </w:tc>
        <w:tc>
          <w:tcPr>
            <w:tcW w:type="dxa" w:w="1080"/>
          </w:tcPr>
          <w:p>
            <w:r>
              <w:rPr>
                <w:rFonts w:ascii="Calibri" w:hAnsi="Calibri"/>
                <w:sz w:val="22"/>
              </w:rPr>
              <w:t>Down low single-digit to slightly positive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 of range</w:t>
            </w:r>
          </w:p>
        </w:tc>
      </w:tr>
      <w:tr>
        <w:tc>
          <w:tcPr>
            <w:tcW w:type="dxa" w:w="1080"/>
          </w:tcPr>
          <w:p>
            <w:r>
              <w:rPr>
                <w:rFonts w:ascii="Calibri" w:hAnsi="Calibri"/>
                <w:sz w:val="22"/>
              </w:rPr>
              <w:t>Net Revenue — Q2 2026 ($B)</w:t>
            </w:r>
          </w:p>
        </w:tc>
        <w:tc>
          <w:tcPr>
            <w:tcW w:type="dxa" w:w="1080"/>
          </w:tcPr>
          <w:p>
            <w:r>
              <w:rPr>
                <w:rFonts w:ascii="Calibri" w:hAnsi="Calibri"/>
                <w:sz w:val="22"/>
              </w:rPr>
              <w:t>$8.46B</w:t>
            </w:r>
          </w:p>
        </w:tc>
        <w:tc>
          <w:tcPr>
            <w:tcW w:type="dxa" w:w="1080"/>
          </w:tcPr>
          <w:p>
            <w:r>
              <w:rPr>
                <w:rFonts w:ascii="Calibri" w:hAnsi="Calibri"/>
                <w:sz w:val="22"/>
              </w:rPr>
              <w:t>$8.47B</w:t>
            </w:r>
          </w:p>
        </w:tc>
        <w:tc>
          <w:tcPr>
            <w:tcW w:type="dxa" w:w="1080"/>
          </w:tcPr>
          <w:p>
            <w:r>
              <w:rPr>
                <w:rFonts w:ascii="Calibri" w:hAnsi="Calibri"/>
                <w:sz w:val="22"/>
              </w:rPr>
              <w:t>+0.1%</w:t>
            </w:r>
          </w:p>
        </w:tc>
        <w:tc>
          <w:tcPr>
            <w:tcW w:type="dxa" w:w="1080"/>
          </w:tcPr>
          <w:p>
            <w:r>
              <w:rPr>
                <w:rFonts w:ascii="Calibri" w:hAnsi="Calibri"/>
                <w:sz w:val="22"/>
              </w:rPr>
              <w:t>Low single-digit growth (CN)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Revenue — FY 2026 ($B)</w:t>
            </w:r>
          </w:p>
        </w:tc>
        <w:tc>
          <w:tcPr>
            <w:tcW w:type="dxa" w:w="1080"/>
          </w:tcPr>
          <w:p>
            <w:r>
              <w:rPr>
                <w:rFonts w:ascii="Calibri" w:hAnsi="Calibri"/>
                <w:sz w:val="22"/>
              </w:rPr>
              <w:t>$34.34B</w:t>
            </w:r>
          </w:p>
        </w:tc>
        <w:tc>
          <w:tcPr>
            <w:tcW w:type="dxa" w:w="1080"/>
          </w:tcPr>
          <w:p>
            <w:r>
              <w:rPr>
                <w:rFonts w:ascii="Calibri" w:hAnsi="Calibri"/>
                <w:sz w:val="22"/>
              </w:rPr>
              <w:t>$34.34B</w:t>
            </w:r>
          </w:p>
        </w:tc>
        <w:tc>
          <w:tcPr>
            <w:tcW w:type="dxa" w:w="1080"/>
          </w:tcPr>
          <w:p>
            <w:r>
              <w:rPr>
                <w:rFonts w:ascii="Calibri" w:hAnsi="Calibri"/>
                <w:sz w:val="22"/>
              </w:rPr>
              <w:t>Flat</w:t>
            </w:r>
          </w:p>
        </w:tc>
        <w:tc>
          <w:tcPr>
            <w:tcW w:type="dxa" w:w="1080"/>
          </w:tcPr>
          <w:p>
            <w:r>
              <w:rPr>
                <w:rFonts w:ascii="Calibri" w:hAnsi="Calibri"/>
                <w:sz w:val="22"/>
              </w:rPr>
              <w:t>Reiterated (low single-digit CN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Transaction Margin $ — Q2 2026 ($B)</w:t>
            </w:r>
          </w:p>
        </w:tc>
        <w:tc>
          <w:tcPr>
            <w:tcW w:type="dxa" w:w="1080"/>
          </w:tcPr>
          <w:p>
            <w:r>
              <w:rPr>
                <w:rFonts w:ascii="Calibri" w:hAnsi="Calibri"/>
                <w:sz w:val="22"/>
              </w:rPr>
              <w:t>$3.74B</w:t>
            </w:r>
          </w:p>
        </w:tc>
        <w:tc>
          <w:tcPr>
            <w:tcW w:type="dxa" w:w="1080"/>
          </w:tcPr>
          <w:p>
            <w:r>
              <w:rPr>
                <w:rFonts w:ascii="Calibri" w:hAnsi="Calibri"/>
                <w:sz w:val="22"/>
              </w:rPr>
              <w:t>$3.74B</w:t>
            </w:r>
          </w:p>
        </w:tc>
        <w:tc>
          <w:tcPr>
            <w:tcW w:type="dxa" w:w="1080"/>
          </w:tcPr>
          <w:p>
            <w:r>
              <w:rPr>
                <w:rFonts w:ascii="Calibri" w:hAnsi="Calibri"/>
                <w:sz w:val="22"/>
              </w:rPr>
              <w:t>Flat</w:t>
            </w:r>
          </w:p>
        </w:tc>
        <w:tc>
          <w:tcPr>
            <w:tcW w:type="dxa" w:w="1080"/>
          </w:tcPr>
          <w:p>
            <w:r>
              <w:rPr>
                <w:rFonts w:ascii="Calibri" w:hAnsi="Calibri"/>
                <w:sz w:val="22"/>
              </w:rPr>
              <w:t>Decline ~2% ex-interest (CN)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Branded Checkout TPV Growth — Q2 2026 (FX-Neutral %)</w:t>
            </w:r>
          </w:p>
        </w:tc>
        <w:tc>
          <w:tcPr>
            <w:tcW w:type="dxa" w:w="1080"/>
          </w:tcPr>
          <w:p>
            <w:r>
              <w:rPr>
                <w:rFonts w:ascii="Calibri" w:hAnsi="Calibri"/>
                <w:sz w:val="22"/>
              </w:rPr>
              <w:t>~+0.6%</w:t>
            </w:r>
          </w:p>
        </w:tc>
        <w:tc>
          <w:tcPr>
            <w:tcW w:type="dxa" w:w="1080"/>
          </w:tcPr>
          <w:p>
            <w:r>
              <w:rPr>
                <w:rFonts w:ascii="Calibri" w:hAnsi="Calibri"/>
                <w:sz w:val="22"/>
              </w:rPr>
              <w:t>~+0.6%</w:t>
            </w:r>
          </w:p>
        </w:tc>
        <w:tc>
          <w:tcPr>
            <w:tcW w:type="dxa" w:w="1080"/>
          </w:tcPr>
          <w:p>
            <w:r>
              <w:rPr>
                <w:rFonts w:ascii="Calibri" w:hAnsi="Calibri"/>
                <w:sz w:val="22"/>
              </w:rPr>
              <w:t>Flat</w:t>
            </w:r>
          </w:p>
        </w:tc>
        <w:tc>
          <w:tcPr>
            <w:tcW w:type="dxa" w:w="1080"/>
          </w:tcPr>
          <w:p>
            <w:r>
              <w:rPr>
                <w:rFonts w:ascii="Calibri" w:hAnsi="Calibri"/>
                <w:sz w:val="22"/>
              </w:rPr>
              <w:t>Low end of slightly positive to low single-digit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FY range</w:t>
            </w:r>
          </w:p>
        </w:tc>
      </w:tr>
    </w:tbl>
    <w:p>
      <w:r>
        <w:rPr>
          <w:rFonts w:ascii="Calibri" w:hAnsi="Calibri"/>
          <w:i/>
          <w:color w:val="525866"/>
          <w:sz w:val="22"/>
        </w:rPr>
        <w:t>Estimates have been essentially frozen since the Q1 print, with Q2 EPS drifting only ~$0.04 higher from the post-earnings baseline — consistent with the street accepting management’s guidance framework. The FY 2026 EPS consensus of $5.79 implies a modest H2 recovery, which is achievable if investment spend moderates as guided. The key risk is that branded checkout TPV growth remains stuck near zero, which would pressure the FY transaction margin dollar outlook.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PYPL’s post-Q1 performance has been driven almost entirely by the July 15 Stripe/Advent acquisition bid, not by fundamental revisions or multiple expansion — the stock drifted lower for 10 weeks after earnings before surging 17% on the takeover news. </w:t>
      </w:r>
      <w:r>
        <w:rPr>
          <w:rFonts w:ascii="Calibri" w:hAnsi="Calibri"/>
          <w:b/>
          <w:color w:val="525866"/>
          <w:sz w:val="22"/>
        </w:rPr>
        <w:t>Payments peers (MA, V) significantly outperformed PYPL on fundamentals alone</w:t>
      </w:r>
      <w:r>
        <w:rPr>
          <w:rFonts w:ascii="Calibri" w:hAnsi="Calibri"/>
          <w:color w:val="525866"/>
          <w:sz w:val="22"/>
        </w:rPr>
        <w:t xml:space="preserve"> through mid-July, underscoring that the stock’s recent rally is event-driven, not earnings-driven.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PYPL vs. MA vs. V — Indexed to 100 at Q1 2026 Earnings (May 5, 2026). Peers: Mastercard (MA) and Visa (V) used as payments sector proxies. Material events marked: Macquarie downgrade (May 7) and Stripe/Advent $60.50/share bid (July 15). Source: Stock Price Data (Yahoo Finance).</w:t>
      </w:r>
    </w:p>
    <w:p>
      <w:r>
        <w:rPr>
          <w:rFonts w:ascii="Calibri" w:hAnsi="Calibri"/>
          <w:color w:val="525866"/>
          <w:sz w:val="22"/>
        </w:rPr>
        <w:t>From the Q1 earnings date (May 5, 2026) through July 14, PYPL declined from $46.49 to $47.37 — essentially flat — while MA rallied ~8% and V rallied ~10%, reflecting the fundamental divergence between PayPal’s challenged branded checkout narrative and the broader payments sector’s resilient volume trends. The stock then surged 17.2% on July 15 to $55.52 on the Stripe/Advent bid news, and has since stabilized near $56. The current price of ~$56 sits just below the reported $60.50 offer price, implying the market is pricing in meaningful deal uncertainty (regulatory risk, financing risk, board resistance). The stock now carries both takeover optionality and earnings risk simultaneously — options markets imply a ~5.2% move on the Q2 print. Sector ETF used: Mastercard (MA) and Visa (V) as direct payments network peers; no single-ticker payments ETF captures PYPL’s sub-sector cleanly.</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since the Q1 2026 earnings cycle is broadly constructive for PayPal’s Q2 setup — Visa, Mastercard, and Shopify all reported resilient-to-accelerating consumer spending and payment volumes through Q2, which should provide a supportive macro backdrop for PYPL’s TPV. </w:t>
      </w:r>
      <w:r>
        <w:rPr>
          <w:rFonts w:ascii="Calibri" w:hAnsi="Calibri"/>
          <w:b/>
          <w:color w:val="525866"/>
          <w:sz w:val="22"/>
        </w:rPr>
        <w:t>The key read-through risk is that peers’ strength is concentrated in network rails and e-commerce platforms, not in branded checkout wallets</w:t>
      </w:r>
      <w:r>
        <w:rPr>
          <w:rFonts w:ascii="Calibri" w:hAnsi="Calibri"/>
          <w:color w:val="525866"/>
          <w:sz w:val="22"/>
        </w:rPr>
        <w:t xml:space="preserve"> — PayPal’s specific competitive positioning remains the swing factor.</w:t>
      </w:r>
    </w:p>
    <w:p>
      <w:pPr>
        <w:pStyle w:val="Heading3"/>
      </w:pPr>
      <w:r>
        <w:rPr>
          <w:rFonts w:ascii="Calibri" w:hAnsi="Calibri"/>
          <w:b/>
          <w:color w:val="3B4259"/>
          <w:sz w:val="24"/>
        </w:rPr>
        <w:t>Visa (V) — Bernstein Conference (May 28, 2026) &amp; JP Morgan TMC Conference (May 19, 2026)</w:t>
      </w:r>
    </w:p>
    <w:p>
      <w:r>
        <w:rPr>
          <w:rFonts w:ascii="Calibri" w:hAnsi="Calibri"/>
          <w:b/>
          <w:color w:val="525866"/>
          <w:sz w:val="22"/>
        </w:rPr>
        <w:t xml:space="preserve">Read-Through: </w:t>
      </w:r>
      <w:r>
        <w:rPr>
          <w:rFonts w:ascii="Calibri" w:hAnsi="Calibri"/>
          <w:color w:val="525866"/>
          <w:sz w:val="22"/>
        </w:rPr>
        <w:t xml:space="preserve">Positive for PYPL TPV. </w:t>
      </w:r>
      <w:r>
        <w:rPr>
          <w:rFonts w:ascii="Calibri" w:hAnsi="Calibri"/>
          <w:color w:val="525866"/>
          <w:sz w:val="22"/>
        </w:rPr>
        <w:t>Visa CEO Ryan McInerney described consumer spending as showing “a lot of resilience” across all spending bands, both domestically and internationally, with “strong consumer spending, broad-based.” U.S. discretionary and nondiscretionary spending remained “very stable and resilient.” Critically, Visa CFO Christopher Suh provided a real-time update through May 14 showing “U.S. PV, processed transactions, cross-border both travel and e-commerce, all improve a little bit” from the April 21 data point — a positive read-through for PYPL’s Q2 TPV trajectory. Cross-border volumes through May 14 were “aligned to the levels that we saw in February,” suggesting the travel softness PYPL flagged on its Q1 call (travel vertical slowdown) may have been transitory. Visa also noted the upcoming FIFA World Cup as a “tailwind to growth” for Q2/Q3 — relevant for PYPL’s cross-border TPV. The one caution: Visa flagged CEMEA travel weakness from the Middle East conflict, which could weigh on PYPL’s international branded checkout.</w:t>
      </w:r>
    </w:p>
    <w:p>
      <w:pPr>
        <w:pStyle w:val="Heading3"/>
      </w:pPr>
      <w:r>
        <w:rPr>
          <w:rFonts w:ascii="Calibri" w:hAnsi="Calibri"/>
          <w:b/>
          <w:color w:val="3B4259"/>
          <w:sz w:val="24"/>
        </w:rPr>
        <w:t>Mastercard (MA) — Bernstein Conference (May 28, 2026) &amp; JP Morgan TMC Conference (May 19, 2026)</w:t>
      </w:r>
    </w:p>
    <w:p>
      <w:r>
        <w:rPr>
          <w:rFonts w:ascii="Calibri" w:hAnsi="Calibri"/>
          <w:b/>
          <w:color w:val="525866"/>
          <w:sz w:val="22"/>
        </w:rPr>
        <w:t xml:space="preserve">Read-Through: </w:t>
      </w:r>
      <w:r>
        <w:rPr>
          <w:rFonts w:ascii="Calibri" w:hAnsi="Calibri"/>
          <w:color w:val="525866"/>
          <w:sz w:val="22"/>
        </w:rPr>
        <w:t xml:space="preserve">Positive for PYPL TPV; neutral for branded checkout. </w:t>
      </w:r>
      <w:r>
        <w:rPr>
          <w:rFonts w:ascii="Calibri" w:hAnsi="Calibri"/>
          <w:color w:val="525866"/>
          <w:sz w:val="22"/>
        </w:rPr>
        <w:t>Mastercard CFO Sachin Mehra stated the consumer “continues to be in actually pretty good shape,” with unemployment near all-time lows and wage growth holding up. Through the week ending April 28 and the first two weeks of May, Mastercard was seeing “stable to slightly better trends across the metrics.” Full-year guidance was held at “high end of low double digits on a currency-neutral basis,” with the Middle East conflict impact expected to be “most pronounced in Q2” before a progressive recovery in H2 — a modest headwind for PYPL’s international volumes. Mastercard’s Chief Product Officer Jorn Lambert noted that “20-25-30% of e-commerce” is expected to shift to agentic commerce “over the next couple of years” — a structural tailwind for PayPal’s identity and checkout positioning, though the near-term impact is minimal. The consumer health read-through is supportive of PYPL’s Q2 TPV, but Mastercard’s strength is concentrated in network rails and value-added services, not in wallet-based branded checkout.</w:t>
      </w:r>
    </w:p>
    <w:p>
      <w:pPr>
        <w:pStyle w:val="Heading3"/>
      </w:pPr>
      <w:r>
        <w:rPr>
          <w:rFonts w:ascii="Calibri" w:hAnsi="Calibri"/>
          <w:b/>
          <w:color w:val="3B4259"/>
          <w:sz w:val="24"/>
        </w:rPr>
        <w:t>Shopify (SHOP) — Q1 2026 Earnings Call (May 5, 2026)</w:t>
      </w:r>
    </w:p>
    <w:p>
      <w:r>
        <w:rPr>
          <w:rFonts w:ascii="Calibri" w:hAnsi="Calibri"/>
          <w:b/>
          <w:color w:val="525866"/>
          <w:sz w:val="22"/>
        </w:rPr>
        <w:t xml:space="preserve">Read-Through: </w:t>
      </w:r>
      <w:r>
        <w:rPr>
          <w:rFonts w:ascii="Calibri" w:hAnsi="Calibri"/>
          <w:color w:val="525866"/>
          <w:sz w:val="22"/>
        </w:rPr>
        <w:t xml:space="preserve">Positive for PYPL TPV and Venmo; mixed for branded checkout. </w:t>
      </w:r>
      <w:r>
        <w:rPr>
          <w:rFonts w:ascii="Calibri" w:hAnsi="Calibri"/>
          <w:color w:val="525866"/>
          <w:sz w:val="22"/>
        </w:rPr>
        <w:t>Shopify reported Q1 GMV of $101B (+35% YoY, +30% constant currency) — the second consecutive quarter above $100B — with online GMV growth accelerating year-over-year. Shop Pay processed $35B of GMV (+59% YoY), with penetration reaching 67% (+3 pts YoY). Shopify guided Q2 revenue growth in the “high 20s” YoY, implying continued strong e-commerce momentum through Q2. This is a direct positive read-through for PYPL’s Braintree (PSP) volumes, as Shopify is a major Braintree customer, and for Venmo’s Pay with Venmo growth (Shopify explicitly listed PayPal as a “best-in-class partner” integrated into its payments ecosystem). AI-driven traffic to Shopify stores grew 8x YoY in Q1, with orders from AI-powered searches up 13x — a structural tailwind for PYPL’s agentic commerce positioning. The caution: Shopify’s strength is in its own Shop Pay wallet, which competes directly with PayPal’s branded checkout for share of Shopify merchant checkout volume.</w:t>
      </w:r>
    </w:p>
    <w:p>
      <w:pPr>
        <w:pStyle w:val="Heading3"/>
      </w:pPr>
      <w:r>
        <w:rPr>
          <w:rFonts w:ascii="Calibri" w:hAnsi="Calibri"/>
          <w:b/>
          <w:color w:val="3B4259"/>
          <w:sz w:val="24"/>
        </w:rPr>
        <w:t>Affirm (AFRM) — Q3 FY2026 Earnings Call (May 7, 2026) &amp; Investor Forum (May 12, 2026)</w:t>
      </w:r>
    </w:p>
    <w:p>
      <w:r>
        <w:rPr>
          <w:rFonts w:ascii="Calibri" w:hAnsi="Calibri"/>
          <w:b/>
          <w:color w:val="525866"/>
          <w:sz w:val="22"/>
        </w:rPr>
        <w:t xml:space="preserve">Read-Through: </w:t>
      </w:r>
      <w:r>
        <w:rPr>
          <w:rFonts w:ascii="Calibri" w:hAnsi="Calibri"/>
          <w:color w:val="525866"/>
          <w:sz w:val="22"/>
        </w:rPr>
        <w:t xml:space="preserve">Positive for PYPL BNPL; mixed for branded checkout competitive dynamics. </w:t>
      </w:r>
      <w:r>
        <w:rPr>
          <w:rFonts w:ascii="Calibri" w:hAnsi="Calibri"/>
          <w:color w:val="525866"/>
          <w:sz w:val="22"/>
        </w:rPr>
        <w:t>Affirm reported “another one for the record books” in fiscal Q3 2026, with GMV growing 35% in the most recent quarter and trailing 12-month GMV approaching $50B. Delinquencies were “pretty stable” and the funding environment “remains exceptionally constructive.” Affirm’s Pay in X (short-duration BNPL) was the fastest-growing segment, with growth expected to continue into fiscal Q4 — a positive read-through for PYPL’s own BNPL product, which grew 23% in Q1 2026. Active merchant count grew 44% YoY, with Shopify remaining the largest platform driver. The competitive read-through is nuanced: Affirm’s rapid merchant expansion and Shopify partnership deepen its presence in the same checkout moments where PayPal competes, but PYPL’s BNPL is growing faster than the market (23% in Q1) and the overall BNPL category tailwind is supportive. Affirm CEO Max Levchin noted “no deterioration” in consumer credit quality among underwritten consumers — a positive signal for PYPL’s credit performance.</w:t>
      </w:r>
    </w:p>
    <w:p>
      <w:pPr>
        <w:pStyle w:val="Heading3"/>
      </w:pPr>
      <w:r>
        <w:rPr>
          <w:rFonts w:ascii="Calibri" w:hAnsi="Calibri"/>
          <w:b/>
          <w:color w:val="3B4259"/>
          <w:sz w:val="24"/>
        </w:rPr>
        <w:t>Global Payments (GPN) — Q1 2026 Earnings Call (May 6, 2026)</w:t>
      </w:r>
    </w:p>
    <w:p>
      <w:r>
        <w:rPr>
          <w:rFonts w:ascii="Calibri" w:hAnsi="Calibri"/>
          <w:b/>
          <w:color w:val="525866"/>
          <w:sz w:val="22"/>
        </w:rPr>
        <w:t xml:space="preserve">Read-Through: </w:t>
      </w:r>
      <w:r>
        <w:rPr>
          <w:rFonts w:ascii="Calibri" w:hAnsi="Calibri"/>
          <w:color w:val="525866"/>
          <w:sz w:val="22"/>
        </w:rPr>
        <w:t xml:space="preserve">Positive for PYPL PSP/Braintree; neutral for branded checkout. </w:t>
      </w:r>
      <w:r>
        <w:rPr>
          <w:rFonts w:ascii="Calibri" w:hAnsi="Calibri"/>
          <w:color w:val="525866"/>
          <w:sz w:val="22"/>
        </w:rPr>
        <w:t>Global Payments reported “healthy underlying consumer spending trends throughout the quarter” and “resilient consumer spending trends across our business” through April. Enterprise e-commerce saw “double-digit transaction growth” in Q1, and managed PayFac volumes grew “more than 20% year-over-year.” GPN guided Q2 with up to 100bps headwind from Middle East travel and softer tax payment volumes, but reaffirmed full-year constant currency revenue growth of ~5%. The e-commerce strength and resilient consumer spending are positive read-throughs for PYPL’s Braintree PSP volumes. GPN also noted that OpenAI is “intentionally leaving checkout, payments, risk and settlement” to payment processors — a structural positive for PYPL’s checkout positioning in agentic commerce.</w:t>
      </w:r>
    </w:p>
    <w:p>
      <w:pPr>
        <w:pStyle w:val="Heading3"/>
      </w:pPr>
      <w:r>
        <w:rPr>
          <w:rFonts w:ascii="Calibri" w:hAnsi="Calibri"/>
          <w:b/>
          <w:color w:val="3B4259"/>
          <w:sz w:val="24"/>
        </w:rPr>
        <w:t>Adyen (ADYEN) — Q1 2026 Sales &amp; Revenue Call (May 6, 2026)</w:t>
      </w:r>
    </w:p>
    <w:p>
      <w:r>
        <w:rPr>
          <w:rFonts w:ascii="Calibri" w:hAnsi="Calibri"/>
          <w:b/>
          <w:color w:val="525866"/>
          <w:sz w:val="22"/>
        </w:rPr>
        <w:t xml:space="preserve">Read-Through: </w:t>
      </w:r>
      <w:r>
        <w:rPr>
          <w:rFonts w:ascii="Calibri" w:hAnsi="Calibri"/>
          <w:color w:val="525866"/>
          <w:sz w:val="22"/>
        </w:rPr>
        <w:t xml:space="preserve">Positive for PYPL PSP; competitive pressure signal for branded checkout. </w:t>
      </w:r>
      <w:r>
        <w:rPr>
          <w:rFonts w:ascii="Calibri" w:hAnsi="Calibri"/>
          <w:color w:val="525866"/>
          <w:sz w:val="22"/>
        </w:rPr>
        <w:t>Adyen reported Q1 processed volume of €382B (+21% YoY), with digital net revenue of €349.6M (+13% YoY constant currency, accelerating from prior period). Unified commerce net revenue grew 28% YoY. Adyen CFO Ethan Tandowsky stated they “haven’t seen that there’s been a change in consumer spending behavior” and described “healthy growth across our customer base.” Adyen reiterated full-year 2026 guidance for 20-22% net revenue growth constant currency. The strong Adyen volume growth is a positive macro read-through for payment processing volumes broadly, but Adyen’s enterprise merchant wins represent direct competitive pressure on Braintree’s enterprise PSP business. Adyen’s focus on “conversion, fraud and cost” as the biggest drivers of merchant value mirrors PYPL’s own Braintree value-added services pitch.</w:t>
      </w:r>
    </w:p>
    <w:p>
      <w:pPr>
        <w:pStyle w:val="Heading3"/>
      </w:pPr>
      <w:r>
        <w:rPr>
          <w:rFonts w:ascii="Calibri" w:hAnsi="Calibri"/>
          <w:b/>
          <w:color w:val="3B4259"/>
          <w:sz w:val="24"/>
        </w:rPr>
        <w:t>Google (GOOGL) — Q2 2026 Earnings Call (July 22, 2026)</w:t>
      </w:r>
    </w:p>
    <w:p>
      <w:r>
        <w:rPr>
          <w:rFonts w:ascii="Calibri" w:hAnsi="Calibri"/>
          <w:b/>
          <w:color w:val="525866"/>
          <w:sz w:val="22"/>
        </w:rPr>
        <w:t xml:space="preserve">Read-Through: </w:t>
      </w:r>
      <w:r>
        <w:rPr>
          <w:rFonts w:ascii="Calibri" w:hAnsi="Calibri"/>
          <w:color w:val="525866"/>
          <w:sz w:val="22"/>
        </w:rPr>
        <w:t xml:space="preserve">Positive for PYPL agentic commerce positioning; neutral for near-term fundamentals. </w:t>
      </w:r>
      <w:r>
        <w:rPr>
          <w:rFonts w:ascii="Calibri" w:hAnsi="Calibri"/>
          <w:color w:val="525866"/>
          <w:sz w:val="22"/>
        </w:rPr>
        <w:t>Alphabet reported Q2 2026 revenue of $119.8B (+24% YoY), with retail as the largest contributor to search revenue growth (+17%). Google announced the Universal Commerce Protocol (UCP) as the new open standard for e-commerce, with Target and Steve Madden already live — directly relevant to PYPL’s agentic commerce strategy (PayPal was among the first to adopt MCP and has been participating in standards-setting groups). Google also launched “buy. with Google Pay,” enabling two-click purchases from Connected TV — a potential competitive pressure on PayPal’s checkout wallet, but also a signal that the overall digital commerce TAM is expanding. The strong retail advertising growth (+17%) is a positive indicator of merchant health and e-commerce activity heading into Q2 for PYPL.</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Signal</w:t>
            </w:r>
          </w:p>
        </w:tc>
        <w:tc>
          <w:tcPr>
            <w:tcW w:type="dxa" w:w="1728"/>
            <w:shd w:val="clear" w:color="auto" w:fill="3B4259"/>
          </w:tcPr>
          <w:p>
            <w:r>
              <w:rPr>
                <w:rFonts w:ascii="Calibri" w:hAnsi="Calibri"/>
                <w:b/>
                <w:color w:val="FFFFFF"/>
                <w:sz w:val="22"/>
              </w:rPr>
              <w:t>PYPL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Visa (V)</w:t>
            </w:r>
          </w:p>
        </w:tc>
        <w:tc>
          <w:tcPr>
            <w:tcW w:type="dxa" w:w="1728"/>
          </w:tcPr>
          <w:p>
            <w:r>
              <w:rPr>
                <w:rFonts w:ascii="Calibri" w:hAnsi="Calibri"/>
                <w:sz w:val="22"/>
              </w:rPr>
              <w:t>Bernstein Conf. / JPM TMC, May 2026</w:t>
            </w:r>
          </w:p>
        </w:tc>
        <w:tc>
          <w:tcPr>
            <w:tcW w:type="dxa" w:w="1728"/>
          </w:tcPr>
          <w:p>
            <w:r>
              <w:rPr>
                <w:rFonts w:ascii="Calibri" w:hAnsi="Calibri"/>
                <w:sz w:val="22"/>
              </w:rPr>
              <w:t>Consumer spending resilient; cross-border improving through May 14; FIFA World Cup tailwind</w:t>
            </w:r>
          </w:p>
        </w:tc>
        <w:tc>
          <w:tcPr>
            <w:tcW w:type="dxa" w:w="1728"/>
          </w:tcPr>
          <w:p>
            <w:r>
              <w:rPr>
                <w:rFonts w:ascii="Calibri" w:hAnsi="Calibri"/>
                <w:sz w:val="22"/>
              </w:rPr>
              <w:t>Positive for Q2 TPV; travel recovery supportive</w:t>
            </w:r>
          </w:p>
        </w:tc>
        <w:tc>
          <w:tcPr>
            <w:tcW w:type="dxa" w:w="1728"/>
          </w:tcPr>
          <w:p>
            <w:r>
              <w:rPr>
                <w:rFonts w:ascii="Calibri" w:hAnsi="Calibri"/>
                <w:b/>
                <w:sz w:val="22"/>
              </w:rPr>
              <w:t>↑ Positive</w:t>
            </w:r>
          </w:p>
        </w:tc>
      </w:tr>
      <w:tr>
        <w:tc>
          <w:tcPr>
            <w:tcW w:type="dxa" w:w="1728"/>
          </w:tcPr>
          <w:p>
            <w:r>
              <w:rPr>
                <w:rFonts w:ascii="Calibri" w:hAnsi="Calibri"/>
                <w:sz w:val="22"/>
              </w:rPr>
              <w:t>Mastercard (MA)</w:t>
            </w:r>
          </w:p>
        </w:tc>
        <w:tc>
          <w:tcPr>
            <w:tcW w:type="dxa" w:w="1728"/>
          </w:tcPr>
          <w:p>
            <w:r>
              <w:rPr>
                <w:rFonts w:ascii="Calibri" w:hAnsi="Calibri"/>
                <w:sz w:val="22"/>
              </w:rPr>
              <w:t>Bernstein Conf. / JPM TMC / RBC Fintech, May–Jun 2026</w:t>
            </w:r>
          </w:p>
        </w:tc>
        <w:tc>
          <w:tcPr>
            <w:tcW w:type="dxa" w:w="1728"/>
          </w:tcPr>
          <w:p>
            <w:r>
              <w:rPr>
                <w:rFonts w:ascii="Calibri" w:hAnsi="Calibri"/>
                <w:sz w:val="22"/>
              </w:rPr>
              <w:t>Consumer “in pretty good shape”; stable to slightly better trends; Middle East headwind most pronounced in Q2</w:t>
            </w:r>
          </w:p>
        </w:tc>
        <w:tc>
          <w:tcPr>
            <w:tcW w:type="dxa" w:w="1728"/>
          </w:tcPr>
          <w:p>
            <w:r>
              <w:rPr>
                <w:rFonts w:ascii="Calibri" w:hAnsi="Calibri"/>
                <w:sz w:val="22"/>
              </w:rPr>
              <w:t>Positive for TPV; Middle East travel a modest headwind for international</w:t>
            </w:r>
          </w:p>
        </w:tc>
        <w:tc>
          <w:tcPr>
            <w:tcW w:type="dxa" w:w="1728"/>
          </w:tcPr>
          <w:p>
            <w:r>
              <w:rPr>
                <w:rFonts w:ascii="Calibri" w:hAnsi="Calibri"/>
                <w:b/>
                <w:sz w:val="22"/>
              </w:rPr>
              <w:t>↑ Positive (with caveat)</w:t>
            </w:r>
          </w:p>
        </w:tc>
      </w:tr>
      <w:tr>
        <w:tc>
          <w:tcPr>
            <w:tcW w:type="dxa" w:w="1728"/>
          </w:tcPr>
          <w:p>
            <w:r>
              <w:rPr>
                <w:rFonts w:ascii="Calibri" w:hAnsi="Calibri"/>
                <w:sz w:val="22"/>
              </w:rPr>
              <w:t>Shopify (SHOP)</w:t>
            </w:r>
          </w:p>
        </w:tc>
        <w:tc>
          <w:tcPr>
            <w:tcW w:type="dxa" w:w="1728"/>
          </w:tcPr>
          <w:p>
            <w:r>
              <w:rPr>
                <w:rFonts w:ascii="Calibri" w:hAnsi="Calibri"/>
                <w:sz w:val="22"/>
              </w:rPr>
              <w:t>Q1 2026 Earnings, May 5, 2026</w:t>
            </w:r>
          </w:p>
        </w:tc>
        <w:tc>
          <w:tcPr>
            <w:tcW w:type="dxa" w:w="1728"/>
          </w:tcPr>
          <w:p>
            <w:r>
              <w:rPr>
                <w:rFonts w:ascii="Calibri" w:hAnsi="Calibri"/>
                <w:sz w:val="22"/>
              </w:rPr>
              <w:t>GMV +35% YoY; Shop Pay +59%; Q2 revenue guided high-20s% growth</w:t>
            </w:r>
          </w:p>
        </w:tc>
        <w:tc>
          <w:tcPr>
            <w:tcW w:type="dxa" w:w="1728"/>
          </w:tcPr>
          <w:p>
            <w:r>
              <w:rPr>
                <w:rFonts w:ascii="Calibri" w:hAnsi="Calibri"/>
                <w:sz w:val="22"/>
              </w:rPr>
              <w:t>Positive for Braintree PSP and Venmo; Shop Pay competes with branded checkout</w:t>
            </w:r>
          </w:p>
        </w:tc>
        <w:tc>
          <w:tcPr>
            <w:tcW w:type="dxa" w:w="1728"/>
          </w:tcPr>
          <w:p>
            <w:r>
              <w:rPr>
                <w:rFonts w:ascii="Calibri" w:hAnsi="Calibri"/>
                <w:b/>
                <w:sz w:val="22"/>
              </w:rPr>
              <w:t>↑/↓ Mixed</w:t>
            </w:r>
          </w:p>
        </w:tc>
      </w:tr>
      <w:tr>
        <w:tc>
          <w:tcPr>
            <w:tcW w:type="dxa" w:w="1728"/>
          </w:tcPr>
          <w:p>
            <w:r>
              <w:rPr>
                <w:rFonts w:ascii="Calibri" w:hAnsi="Calibri"/>
                <w:sz w:val="22"/>
              </w:rPr>
              <w:t>Affirm (AFRM)</w:t>
            </w:r>
          </w:p>
        </w:tc>
        <w:tc>
          <w:tcPr>
            <w:tcW w:type="dxa" w:w="1728"/>
          </w:tcPr>
          <w:p>
            <w:r>
              <w:rPr>
                <w:rFonts w:ascii="Calibri" w:hAnsi="Calibri"/>
                <w:sz w:val="22"/>
              </w:rPr>
              <w:t>Q3 FY2026 Earnings / Investor Forum, May 2026</w:t>
            </w:r>
          </w:p>
        </w:tc>
        <w:tc>
          <w:tcPr>
            <w:tcW w:type="dxa" w:w="1728"/>
          </w:tcPr>
          <w:p>
            <w:r>
              <w:rPr>
                <w:rFonts w:ascii="Calibri" w:hAnsi="Calibri"/>
                <w:sz w:val="22"/>
              </w:rPr>
              <w:t>GMV +35%; no credit deterioration; BNPL category accelerating; Pay in X fastest-growing</w:t>
            </w:r>
          </w:p>
        </w:tc>
        <w:tc>
          <w:tcPr>
            <w:tcW w:type="dxa" w:w="1728"/>
          </w:tcPr>
          <w:p>
            <w:r>
              <w:rPr>
                <w:rFonts w:ascii="Calibri" w:hAnsi="Calibri"/>
                <w:sz w:val="22"/>
              </w:rPr>
              <w:t>Positive for PYPL BNPL (23% growth); competitive in checkout</w:t>
            </w:r>
          </w:p>
        </w:tc>
        <w:tc>
          <w:tcPr>
            <w:tcW w:type="dxa" w:w="1728"/>
          </w:tcPr>
          <w:p>
            <w:r>
              <w:rPr>
                <w:rFonts w:ascii="Calibri" w:hAnsi="Calibri"/>
                <w:b/>
                <w:sz w:val="22"/>
              </w:rPr>
              <w:t>↑ Positive</w:t>
            </w:r>
          </w:p>
        </w:tc>
      </w:tr>
      <w:tr>
        <w:tc>
          <w:tcPr>
            <w:tcW w:type="dxa" w:w="1728"/>
          </w:tcPr>
          <w:p>
            <w:r>
              <w:rPr>
                <w:rFonts w:ascii="Calibri" w:hAnsi="Calibri"/>
                <w:sz w:val="22"/>
              </w:rPr>
              <w:t>Global Payments (GPN)</w:t>
            </w:r>
          </w:p>
        </w:tc>
        <w:tc>
          <w:tcPr>
            <w:tcW w:type="dxa" w:w="1728"/>
          </w:tcPr>
          <w:p>
            <w:r>
              <w:rPr>
                <w:rFonts w:ascii="Calibri" w:hAnsi="Calibri"/>
                <w:sz w:val="22"/>
              </w:rPr>
              <w:t>Q1 2026 Earnings, May 6, 2026</w:t>
            </w:r>
          </w:p>
        </w:tc>
        <w:tc>
          <w:tcPr>
            <w:tcW w:type="dxa" w:w="1728"/>
          </w:tcPr>
          <w:p>
            <w:r>
              <w:rPr>
                <w:rFonts w:ascii="Calibri" w:hAnsi="Calibri"/>
                <w:sz w:val="22"/>
              </w:rPr>
              <w:t>Resilient consumer spending; e-commerce double-digit transaction growth; PayFac +20%+</w:t>
            </w:r>
          </w:p>
        </w:tc>
        <w:tc>
          <w:tcPr>
            <w:tcW w:type="dxa" w:w="1728"/>
          </w:tcPr>
          <w:p>
            <w:r>
              <w:rPr>
                <w:rFonts w:ascii="Calibri" w:hAnsi="Calibri"/>
                <w:sz w:val="22"/>
              </w:rPr>
              <w:t>Positive for Braintree PSP volumes</w:t>
            </w:r>
          </w:p>
        </w:tc>
        <w:tc>
          <w:tcPr>
            <w:tcW w:type="dxa" w:w="1728"/>
          </w:tcPr>
          <w:p>
            <w:r>
              <w:rPr>
                <w:rFonts w:ascii="Calibri" w:hAnsi="Calibri"/>
                <w:b/>
                <w:sz w:val="22"/>
              </w:rPr>
              <w:t>↑ Positive</w:t>
            </w:r>
          </w:p>
        </w:tc>
      </w:tr>
      <w:tr>
        <w:tc>
          <w:tcPr>
            <w:tcW w:type="dxa" w:w="1728"/>
          </w:tcPr>
          <w:p>
            <w:r>
              <w:rPr>
                <w:rFonts w:ascii="Calibri" w:hAnsi="Calibri"/>
                <w:sz w:val="22"/>
              </w:rPr>
              <w:t>Adyen (ADYEN)</w:t>
            </w:r>
          </w:p>
        </w:tc>
        <w:tc>
          <w:tcPr>
            <w:tcW w:type="dxa" w:w="1728"/>
          </w:tcPr>
          <w:p>
            <w:r>
              <w:rPr>
                <w:rFonts w:ascii="Calibri" w:hAnsi="Calibri"/>
                <w:sz w:val="22"/>
              </w:rPr>
              <w:t>Q1 2026 Revenue Call, May 6, 2026</w:t>
            </w:r>
          </w:p>
        </w:tc>
        <w:tc>
          <w:tcPr>
            <w:tcW w:type="dxa" w:w="1728"/>
          </w:tcPr>
          <w:p>
            <w:r>
              <w:rPr>
                <w:rFonts w:ascii="Calibri" w:hAnsi="Calibri"/>
                <w:sz w:val="22"/>
              </w:rPr>
              <w:t>Processed volume +21%; digital net revenue accelerating; no consumer spending change observed</w:t>
            </w:r>
          </w:p>
        </w:tc>
        <w:tc>
          <w:tcPr>
            <w:tcW w:type="dxa" w:w="1728"/>
          </w:tcPr>
          <w:p>
            <w:r>
              <w:rPr>
                <w:rFonts w:ascii="Calibri" w:hAnsi="Calibri"/>
                <w:sz w:val="22"/>
              </w:rPr>
              <w:t>Positive macro read; competitive pressure on Braintree enterprise</w:t>
            </w:r>
          </w:p>
        </w:tc>
        <w:tc>
          <w:tcPr>
            <w:tcW w:type="dxa" w:w="1728"/>
          </w:tcPr>
          <w:p>
            <w:r>
              <w:rPr>
                <w:rFonts w:ascii="Calibri" w:hAnsi="Calibri"/>
                <w:b/>
                <w:sz w:val="22"/>
              </w:rPr>
              <w:t>↑/↓ Mixed</w:t>
            </w:r>
          </w:p>
        </w:tc>
      </w:tr>
      <w:tr>
        <w:tc>
          <w:tcPr>
            <w:tcW w:type="dxa" w:w="1728"/>
          </w:tcPr>
          <w:p>
            <w:r>
              <w:rPr>
                <w:rFonts w:ascii="Calibri" w:hAnsi="Calibri"/>
                <w:sz w:val="22"/>
              </w:rPr>
              <w:t>Google (GOOGL)</w:t>
            </w:r>
          </w:p>
        </w:tc>
        <w:tc>
          <w:tcPr>
            <w:tcW w:type="dxa" w:w="1728"/>
          </w:tcPr>
          <w:p>
            <w:r>
              <w:rPr>
                <w:rFonts w:ascii="Calibri" w:hAnsi="Calibri"/>
                <w:sz w:val="22"/>
              </w:rPr>
              <w:t>Q2 2026 Earnings, July 22, 2026</w:t>
            </w:r>
          </w:p>
        </w:tc>
        <w:tc>
          <w:tcPr>
            <w:tcW w:type="dxa" w:w="1728"/>
          </w:tcPr>
          <w:p>
            <w:r>
              <w:rPr>
                <w:rFonts w:ascii="Calibri" w:hAnsi="Calibri"/>
                <w:sz w:val="22"/>
              </w:rPr>
              <w:t>Retail largest contributor to search growth; UCP standard launched; buy-with-Google-Pay on CTV</w:t>
            </w:r>
          </w:p>
        </w:tc>
        <w:tc>
          <w:tcPr>
            <w:tcW w:type="dxa" w:w="1728"/>
          </w:tcPr>
          <w:p>
            <w:r>
              <w:rPr>
                <w:rFonts w:ascii="Calibri" w:hAnsi="Calibri"/>
                <w:sz w:val="22"/>
              </w:rPr>
              <w:t>Positive for e-commerce TAM; agentic commerce positioning relevant for PYPL</w:t>
            </w:r>
          </w:p>
        </w:tc>
        <w:tc>
          <w:tcPr>
            <w:tcW w:type="dxa" w:w="1728"/>
          </w:tcPr>
          <w:p>
            <w:r>
              <w:rPr>
                <w:rFonts w:ascii="Calibri" w:hAnsi="Calibri"/>
                <w:b/>
                <w:sz w:val="22"/>
              </w:rPr>
              <w:t>↑ 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Stripe/Advent $60.50/share acquisition bid (July 14–15) is the single most important development since Q1 earnings — it has re-rated the stock ~20% and introduced a binary event that now dominates the fundamental setup. </w:t>
      </w:r>
      <w:r>
        <w:rPr>
          <w:rFonts w:ascii="Calibri" w:hAnsi="Calibri"/>
          <w:b/>
          <w:color w:val="525866"/>
          <w:sz w:val="22"/>
        </w:rPr>
        <w:t>The board’s reported view that the offer undervalues the company</w:t>
      </w:r>
      <w:r>
        <w:rPr>
          <w:rFonts w:ascii="Calibri" w:hAnsi="Calibri"/>
          <w:color w:val="525866"/>
          <w:sz w:val="22"/>
        </w:rPr>
        <w:t xml:space="preserve"> means the Q2 print and any guidance update will be scrutinized for whether they strengthen or weaken PayPal’s standalone case.</w:t>
      </w:r>
    </w:p>
    <w:p>
      <w:pPr>
        <w:pStyle w:val="ListBullet"/>
        <w:ind w:left="360" w:hanging="360"/>
      </w:pPr>
      <w:r>
        <w:rPr>
          <w:rFonts w:ascii="Calibri" w:hAnsi="Calibri"/>
          <w:b/>
          <w:color w:val="525866"/>
          <w:sz w:val="22"/>
        </w:rPr>
        <w:t xml:space="preserve">July 14–15, 2026 — Stripe + Advent International $60.50/share Acquisition Bid ($53B+): </w:t>
      </w:r>
      <w:r>
        <w:rPr>
          <w:rFonts w:ascii="Calibri" w:hAnsi="Calibri"/>
          <w:color w:val="525866"/>
          <w:sz w:val="22"/>
        </w:rPr>
        <w:t xml:space="preserve">Reuters reported that Stripe and private equity firm Advent International jointly submitted an offer to acquire PayPal at $60.50/share (~$53B enterprise value), backed by ~$50B in committed bank financing. The offer represents a ~28% premium to the pre-announcement close (~$47). PayPal’s board reportedly views the offer as undervaluing the company and has concerns about financing and regulatory approval. The stock surged 17.2% on July 15 to $55.52. </w:t>
      </w:r>
      <w:r>
        <w:rPr>
          <w:rFonts w:ascii="Calibri" w:hAnsi="Calibri"/>
          <w:i/>
          <w:color w:val="525866"/>
          <w:sz w:val="22"/>
        </w:rPr>
        <w:t>Implication: Creates a floor under the stock near $55–56 but introduces deal uncertainty; the Q2 print and any guidance raise could strengthen the board’s standalone case and push back against the bid.</w:t>
      </w:r>
    </w:p>
    <w:p>
      <w:pPr>
        <w:pStyle w:val="ListBullet"/>
        <w:ind w:left="360" w:hanging="360"/>
      </w:pPr>
      <w:r>
        <w:rPr>
          <w:rFonts w:ascii="Calibri" w:hAnsi="Calibri"/>
          <w:b/>
          <w:color w:val="525866"/>
          <w:sz w:val="22"/>
        </w:rPr>
        <w:t xml:space="preserve">May 7, 2026 — Macquarie Downgrade to Neutral (PT: $50 from $58): </w:t>
      </w:r>
      <w:r>
        <w:rPr>
          <w:rFonts w:ascii="Calibri" w:hAnsi="Calibri"/>
          <w:color w:val="525866"/>
          <w:sz w:val="22"/>
        </w:rPr>
        <w:t xml:space="preserve">Macquarie analyst Paul Golding cut PYPL to Neutral from Outperform, citing a soft Q2 2026 outlook and a cost-saving plan that is heavily back-end loaded. The downgrade came two days after the Q1 earnings call and reflected concern that the investment cycle would weigh on near-term earnings longer than expected. </w:t>
      </w:r>
      <w:r>
        <w:rPr>
          <w:rFonts w:ascii="Calibri" w:hAnsi="Calibri"/>
          <w:i/>
          <w:color w:val="525866"/>
          <w:sz w:val="22"/>
        </w:rPr>
        <w:t>Implication: Reflects the consensus view that the turnaround is a multi-year story; the stock was trading near $47 at the time of the downgrade.</w:t>
      </w:r>
    </w:p>
    <w:p>
      <w:pPr>
        <w:pStyle w:val="ListBullet"/>
        <w:ind w:left="360" w:hanging="360"/>
      </w:pPr>
      <w:r>
        <w:rPr>
          <w:rFonts w:ascii="Calibri" w:hAnsi="Calibri"/>
          <w:b/>
          <w:color w:val="525866"/>
          <w:sz w:val="22"/>
        </w:rPr>
        <w:t xml:space="preserve">May 5, 2026 — Q1 2026 Earnings Beat + Q2 Guidance Disappointment: </w:t>
      </w:r>
      <w:r>
        <w:rPr>
          <w:rFonts w:ascii="Calibri" w:hAnsi="Calibri"/>
          <w:color w:val="525866"/>
          <w:sz w:val="22"/>
        </w:rPr>
        <w:t xml:space="preserve">PYPL beat Q1 consensus on both revenue ($8.35B vs. $8.05B est.) and non-GAAP EPS ($1.34 vs. $1.27 est.), but the stock fell sharply (down ~10%+ intraday) as Q2 guidance called for a ~9% EPS decline and management acknowledged branded checkout trends running at the low end of full-year guidance. CEO Lores outlined the three-business reorganization and $1.5B+ cost savings program. </w:t>
      </w:r>
      <w:r>
        <w:rPr>
          <w:rFonts w:ascii="Calibri" w:hAnsi="Calibri"/>
          <w:i/>
          <w:color w:val="525866"/>
          <w:sz w:val="22"/>
        </w:rPr>
        <w:t>Implication: Set the low bar that Q2 consensus is now benchmarked against.</w:t>
      </w:r>
    </w:p>
    <w:p>
      <w:pPr>
        <w:pStyle w:val="ListBullet"/>
        <w:ind w:left="360" w:hanging="360"/>
      </w:pPr>
      <w:r>
        <w:rPr>
          <w:rFonts w:ascii="Calibri" w:hAnsi="Calibri"/>
          <w:b/>
          <w:color w:val="525866"/>
          <w:sz w:val="22"/>
        </w:rPr>
        <w:t xml:space="preserve">May 27, 2026 — CEO Enrique Lores Receives 587,168 Performance Stock Units: </w:t>
      </w:r>
      <w:r>
        <w:rPr>
          <w:rFonts w:ascii="Calibri" w:hAnsi="Calibri"/>
          <w:color w:val="525866"/>
          <w:sz w:val="22"/>
        </w:rPr>
        <w:t xml:space="preserve">Lores received a large PSU grant (transaction code A), aligning his compensation with long-term performance. </w:t>
      </w:r>
      <w:r>
        <w:rPr>
          <w:rFonts w:ascii="Calibri" w:hAnsi="Calibri"/>
          <w:i/>
          <w:color w:val="525866"/>
          <w:sz w:val="22"/>
        </w:rPr>
        <w:t>Implication: Signals board commitment to the Lores-led turnaround; PSU structure incentivizes multi-year value creation.</w:t>
      </w:r>
    </w:p>
    <w:p>
      <w:pPr>
        <w:pStyle w:val="ListBullet"/>
        <w:ind w:left="360" w:hanging="360"/>
      </w:pPr>
      <w:r>
        <w:rPr>
          <w:rFonts w:ascii="Calibri" w:hAnsi="Calibri"/>
          <w:b/>
          <w:color w:val="525866"/>
          <w:sz w:val="22"/>
        </w:rPr>
        <w:t xml:space="preserve">June 15–16, 2026 — CFO Jamie Miller Open Market Purchase of 6,129 Shares: </w:t>
      </w:r>
      <w:r>
        <w:rPr>
          <w:rFonts w:ascii="Calibri" w:hAnsi="Calibri"/>
          <w:color w:val="525866"/>
          <w:sz w:val="22"/>
        </w:rPr>
        <w:t xml:space="preserve">CFO Miller made a discretionary open market purchase (transaction code P) of 6,129 shares of common stock on June 15, 2026 — a notable signal of insider confidence at a time when the stock was trading near $42–43. </w:t>
      </w:r>
      <w:r>
        <w:rPr>
          <w:rFonts w:ascii="Calibri" w:hAnsi="Calibri"/>
          <w:i/>
          <w:color w:val="525866"/>
          <w:sz w:val="22"/>
        </w:rPr>
        <w:t>Implication: Discretionary buy by the CFO near multi-year lows is a meaningful positive signal; suggests management views the stock as undervalued at those levels.</w:t>
      </w:r>
    </w:p>
    <w:p>
      <w:pPr>
        <w:pStyle w:val="ListBullet"/>
        <w:ind w:left="360" w:hanging="360"/>
      </w:pPr>
      <w:r>
        <w:rPr>
          <w:rFonts w:ascii="Calibri" w:hAnsi="Calibri"/>
          <w:b/>
          <w:color w:val="525866"/>
          <w:sz w:val="22"/>
        </w:rPr>
        <w:t xml:space="preserve">June 2026 — CTO Srini Venkatesan Technology Platform Update (Bernstein Conference): </w:t>
      </w:r>
      <w:r>
        <w:rPr>
          <w:rFonts w:ascii="Calibri" w:hAnsi="Calibri"/>
          <w:color w:val="525866"/>
          <w:sz w:val="22"/>
        </w:rPr>
        <w:t xml:space="preserve">CTO provided the most detailed public accounting of PayPal’s technical debt remediation to date — identity platform convergence between PayPal and Venmo complete; payments rail convergence underway; Oracle database migration in progress; AI-assisted C++ to Java migration factory operational with 2,000+ AI pull requests per week. </w:t>
      </w:r>
      <w:r>
        <w:rPr>
          <w:rFonts w:ascii="Calibri" w:hAnsi="Calibri"/>
          <w:i/>
          <w:color w:val="525866"/>
          <w:sz w:val="22"/>
        </w:rPr>
        <w:t>Implication: Concrete milestones suggest the technology modernization is progressing faster than the market appreciates; could be a positive catalyst if management highlights progress on the Q2 call.</w:t>
      </w:r>
    </w:p>
    <w:p>
      <w:pPr>
        <w:pStyle w:val="ListBullet"/>
        <w:ind w:left="360" w:hanging="360"/>
      </w:pPr>
      <w:r>
        <w:rPr>
          <w:rFonts w:ascii="Calibri" w:hAnsi="Calibri"/>
          <w:b/>
          <w:color w:val="525866"/>
          <w:sz w:val="22"/>
        </w:rPr>
        <w:t xml:space="preserve">May 2026 — Analyst Consensus: 45 Analysts, Hold Rating, Average PT $53.72: </w:t>
      </w:r>
      <w:r>
        <w:rPr>
          <w:rFonts w:ascii="Calibri" w:hAnsi="Calibri"/>
          <w:color w:val="525866"/>
          <w:sz w:val="22"/>
        </w:rPr>
        <w:t xml:space="preserve">Of 45 analysts covering PYPL, 6 have Sell, 32 have Hold, and 7 have Buy ratings, with an average 12-month price target of $53.72 (range: $32–$100). The consensus PT is now below the reported acquisition offer price of $60.50. </w:t>
      </w:r>
      <w:r>
        <w:rPr>
          <w:rFonts w:ascii="Calibri" w:hAnsi="Calibri"/>
          <w:i/>
          <w:color w:val="525866"/>
          <w:sz w:val="22"/>
        </w:rPr>
        <w:t>Implication: The acquisition bid has effectively made the consensus PT stale; a successful deal at $60.50+ would represent ~13% upside from current levels.</w:t>
      </w:r>
    </w:p>
    <w:p>
      <w:pPr>
        <w:pStyle w:val="ListBullet"/>
        <w:ind w:left="360" w:hanging="360"/>
      </w:pPr>
      <w:r>
        <w:rPr>
          <w:rFonts w:ascii="Calibri" w:hAnsi="Calibri"/>
          <w:b/>
          <w:color w:val="525866"/>
          <w:sz w:val="22"/>
        </w:rPr>
        <w:t xml:space="preserve">March 2026 — PYUSD Stablecoin Expanded to 70 Markets Globally: </w:t>
      </w:r>
      <w:r>
        <w:rPr>
          <w:rFonts w:ascii="Calibri" w:hAnsi="Calibri"/>
          <w:color w:val="525866"/>
          <w:sz w:val="22"/>
        </w:rPr>
        <w:t xml:space="preserve">PayPal expanded PYUSD availability to users across 70 markets, with market cap growing substantially. Lores identified near-term use cases in large international payments and inflation-hedge savings in high-inflation markets. </w:t>
      </w:r>
      <w:r>
        <w:rPr>
          <w:rFonts w:ascii="Calibri" w:hAnsi="Calibri"/>
          <w:i/>
          <w:color w:val="525866"/>
          <w:sz w:val="22"/>
        </w:rPr>
        <w:t>Implication: Stablecoin expansion is a long-term optionality story; near-term revenue contribution is minimal but positions PYPL in the growing digital asset payments infrastructure.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most notable signal is CFO Jamie Miller’s discretionary open market purchase of 6,129 shares on June 15, 2026 — a rare and meaningful buy by the CFO near multi-year lows (~$42–43). </w:t>
      </w:r>
      <w:r>
        <w:rPr>
          <w:rFonts w:ascii="Calibri" w:hAnsi="Calibri"/>
          <w:b/>
          <w:color w:val="525866"/>
          <w:sz w:val="22"/>
        </w:rPr>
        <w:t>All other transactions are RSU vesting/tax withholding or equity award grants, which are routine and non-signaling.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b/>
                <w:sz w:val="22"/>
              </w:rPr>
              <w:t>Miller, Jamie S</w:t>
            </w:r>
          </w:p>
        </w:tc>
        <w:tc>
          <w:tcPr>
            <w:tcW w:type="dxa" w:w="1440"/>
          </w:tcPr>
          <w:p>
            <w:r>
              <w:rPr>
                <w:rFonts w:ascii="Calibri" w:hAnsi="Calibri"/>
                <w:sz w:val="22"/>
              </w:rPr>
              <w:t>Chief Financial &amp; Operating Officer</w:t>
            </w:r>
          </w:p>
        </w:tc>
        <w:tc>
          <w:tcPr>
            <w:tcW w:type="dxa" w:w="1440"/>
          </w:tcPr>
          <w:p>
            <w:r>
              <w:rPr>
                <w:rFonts w:ascii="Calibri" w:hAnsi="Calibri"/>
                <w:b/>
                <w:color w:val="30A46C"/>
                <w:sz w:val="22"/>
              </w:rPr>
              <w:t>Open Market Buy</w:t>
            </w:r>
          </w:p>
        </w:tc>
        <w:tc>
          <w:tcPr>
            <w:tcW w:type="dxa" w:w="1440"/>
          </w:tcPr>
          <w:p>
            <w:r>
              <w:rPr>
                <w:rFonts w:ascii="Calibri" w:hAnsi="Calibri"/>
                <w:sz w:val="22"/>
              </w:rPr>
              <w:t>6,129 shares (~$258K at ~$42)</w:t>
            </w:r>
          </w:p>
        </w:tc>
        <w:tc>
          <w:tcPr>
            <w:tcW w:type="dxa" w:w="1440"/>
          </w:tcPr>
          <w:p>
            <w:r>
              <w:rPr>
                <w:rFonts w:ascii="Calibri" w:hAnsi="Calibri"/>
                <w:sz w:val="22"/>
              </w:rPr>
              <w:t>June 15, 2026</w:t>
            </w:r>
          </w:p>
        </w:tc>
        <w:tc>
          <w:tcPr>
            <w:tcW w:type="dxa" w:w="1440"/>
          </w:tcPr>
          <w:p>
            <w:r>
              <w:rPr>
                <w:rFonts w:ascii="Calibri" w:hAnsi="Calibri"/>
                <w:sz w:val="22"/>
              </w:rPr>
              <w:t>Discretionary purchase (code P); notable buy near multi-year lows; strong insider confidence signal</w:t>
            </w:r>
          </w:p>
        </w:tc>
      </w:tr>
      <w:tr>
        <w:tc>
          <w:tcPr>
            <w:tcW w:type="dxa" w:w="1440"/>
          </w:tcPr>
          <w:p>
            <w:r>
              <w:rPr>
                <w:rFonts w:ascii="Calibri" w:hAnsi="Calibri"/>
                <w:sz w:val="22"/>
              </w:rPr>
              <w:t>Lores, Enrique</w:t>
            </w:r>
          </w:p>
        </w:tc>
        <w:tc>
          <w:tcPr>
            <w:tcW w:type="dxa" w:w="1440"/>
          </w:tcPr>
          <w:p>
            <w:r>
              <w:rPr>
                <w:rFonts w:ascii="Calibri" w:hAnsi="Calibri"/>
                <w:sz w:val="22"/>
              </w:rPr>
              <w:t>President, CEO &amp; Director</w:t>
            </w:r>
          </w:p>
        </w:tc>
        <w:tc>
          <w:tcPr>
            <w:tcW w:type="dxa" w:w="1440"/>
          </w:tcPr>
          <w:p>
            <w:r>
              <w:rPr>
                <w:rFonts w:ascii="Calibri" w:hAnsi="Calibri"/>
                <w:sz w:val="22"/>
              </w:rPr>
              <w:t>PSU Grant (Award)</w:t>
            </w:r>
          </w:p>
        </w:tc>
        <w:tc>
          <w:tcPr>
            <w:tcW w:type="dxa" w:w="1440"/>
          </w:tcPr>
          <w:p>
            <w:r>
              <w:rPr>
                <w:rFonts w:ascii="Calibri" w:hAnsi="Calibri"/>
                <w:sz w:val="22"/>
              </w:rPr>
              <w:t>587,168 PSUs</w:t>
            </w:r>
          </w:p>
        </w:tc>
        <w:tc>
          <w:tcPr>
            <w:tcW w:type="dxa" w:w="1440"/>
          </w:tcPr>
          <w:p>
            <w:r>
              <w:rPr>
                <w:rFonts w:ascii="Calibri" w:hAnsi="Calibri"/>
                <w:sz w:val="22"/>
              </w:rPr>
              <w:t>May 27, 2026</w:t>
            </w:r>
          </w:p>
        </w:tc>
        <w:tc>
          <w:tcPr>
            <w:tcW w:type="dxa" w:w="1440"/>
          </w:tcPr>
          <w:p>
            <w:r>
              <w:rPr>
                <w:rFonts w:ascii="Calibri" w:hAnsi="Calibri"/>
                <w:sz w:val="22"/>
              </w:rPr>
              <w:t>Performance-based equity award; routine new CEO compensation; not a market transaction</w:t>
            </w:r>
          </w:p>
        </w:tc>
      </w:tr>
      <w:tr>
        <w:tc>
          <w:tcPr>
            <w:tcW w:type="dxa" w:w="1440"/>
          </w:tcPr>
          <w:p>
            <w:r>
              <w:rPr>
                <w:rFonts w:ascii="Calibri" w:hAnsi="Calibri"/>
                <w:sz w:val="22"/>
              </w:rPr>
              <w:t>Keller, Frank</w:t>
            </w:r>
          </w:p>
        </w:tc>
        <w:tc>
          <w:tcPr>
            <w:tcW w:type="dxa" w:w="1440"/>
          </w:tcPr>
          <w:p>
            <w:r>
              <w:rPr>
                <w:rFonts w:ascii="Calibri" w:hAnsi="Calibri"/>
                <w:sz w:val="22"/>
              </w:rPr>
              <w:t>President, Checkout Solutions &amp; PayPal</w:t>
            </w:r>
          </w:p>
        </w:tc>
        <w:tc>
          <w:tcPr>
            <w:tcW w:type="dxa" w:w="1440"/>
          </w:tcPr>
          <w:p>
            <w:r>
              <w:rPr>
                <w:rFonts w:ascii="Calibri" w:hAnsi="Calibri"/>
                <w:sz w:val="22"/>
              </w:rPr>
              <w:t>PSU Grant (Award)</w:t>
            </w:r>
          </w:p>
        </w:tc>
        <w:tc>
          <w:tcPr>
            <w:tcW w:type="dxa" w:w="1440"/>
          </w:tcPr>
          <w:p>
            <w:r>
              <w:rPr>
                <w:rFonts w:ascii="Calibri" w:hAnsi="Calibri"/>
                <w:sz w:val="22"/>
              </w:rPr>
              <w:t>146,778 PSUs</w:t>
            </w:r>
          </w:p>
        </w:tc>
        <w:tc>
          <w:tcPr>
            <w:tcW w:type="dxa" w:w="1440"/>
          </w:tcPr>
          <w:p>
            <w:r>
              <w:rPr>
                <w:rFonts w:ascii="Calibri" w:hAnsi="Calibri"/>
                <w:sz w:val="22"/>
              </w:rPr>
              <w:t>June 15, 2026</w:t>
            </w:r>
          </w:p>
        </w:tc>
        <w:tc>
          <w:tcPr>
            <w:tcW w:type="dxa" w:w="1440"/>
          </w:tcPr>
          <w:p>
            <w:r>
              <w:rPr>
                <w:rFonts w:ascii="Calibri" w:hAnsi="Calibri"/>
                <w:sz w:val="22"/>
              </w:rPr>
              <w:t>Performance-based equity award; routine; not a market transaction</w:t>
            </w:r>
          </w:p>
        </w:tc>
      </w:tr>
      <w:tr>
        <w:tc>
          <w:tcPr>
            <w:tcW w:type="dxa" w:w="1440"/>
          </w:tcPr>
          <w:p>
            <w:r>
              <w:rPr>
                <w:rFonts w:ascii="Calibri" w:hAnsi="Calibri"/>
                <w:sz w:val="22"/>
              </w:rPr>
              <w:t>Miller, Jamie S</w:t>
            </w:r>
          </w:p>
        </w:tc>
        <w:tc>
          <w:tcPr>
            <w:tcW w:type="dxa" w:w="1440"/>
          </w:tcPr>
          <w:p>
            <w:r>
              <w:rPr>
                <w:rFonts w:ascii="Calibri" w:hAnsi="Calibri"/>
                <w:sz w:val="22"/>
              </w:rPr>
              <w:t>Chief Financial &amp; Operating Officer</w:t>
            </w:r>
          </w:p>
        </w:tc>
        <w:tc>
          <w:tcPr>
            <w:tcW w:type="dxa" w:w="1440"/>
          </w:tcPr>
          <w:p>
            <w:r>
              <w:rPr>
                <w:rFonts w:ascii="Calibri" w:hAnsi="Calibri"/>
                <w:sz w:val="22"/>
              </w:rPr>
              <w:t>PSU Grant (Award)</w:t>
            </w:r>
          </w:p>
        </w:tc>
        <w:tc>
          <w:tcPr>
            <w:tcW w:type="dxa" w:w="1440"/>
          </w:tcPr>
          <w:p>
            <w:r>
              <w:rPr>
                <w:rFonts w:ascii="Calibri" w:hAnsi="Calibri"/>
                <w:sz w:val="22"/>
              </w:rPr>
              <w:t>146,778 PSUs</w:t>
            </w:r>
          </w:p>
        </w:tc>
        <w:tc>
          <w:tcPr>
            <w:tcW w:type="dxa" w:w="1440"/>
          </w:tcPr>
          <w:p>
            <w:r>
              <w:rPr>
                <w:rFonts w:ascii="Calibri" w:hAnsi="Calibri"/>
                <w:sz w:val="22"/>
              </w:rPr>
              <w:t>June 15, 2026</w:t>
            </w:r>
          </w:p>
        </w:tc>
        <w:tc>
          <w:tcPr>
            <w:tcW w:type="dxa" w:w="1440"/>
          </w:tcPr>
          <w:p>
            <w:r>
              <w:rPr>
                <w:rFonts w:ascii="Calibri" w:hAnsi="Calibri"/>
                <w:sz w:val="22"/>
              </w:rPr>
              <w:t>Performance-based equity award; routine; not a market transaction</w:t>
            </w:r>
          </w:p>
        </w:tc>
      </w:tr>
      <w:tr>
        <w:tc>
          <w:tcPr>
            <w:tcW w:type="dxa" w:w="1440"/>
          </w:tcPr>
          <w:p>
            <w:r>
              <w:rPr>
                <w:rFonts w:ascii="Calibri" w:hAnsi="Calibri"/>
                <w:sz w:val="22"/>
              </w:rPr>
              <w:t>Keller, Frank</w:t>
            </w:r>
          </w:p>
        </w:tc>
        <w:tc>
          <w:tcPr>
            <w:tcW w:type="dxa" w:w="1440"/>
          </w:tcPr>
          <w:p>
            <w:r>
              <w:rPr>
                <w:rFonts w:ascii="Calibri" w:hAnsi="Calibri"/>
                <w:sz w:val="22"/>
              </w:rPr>
              <w:t>President, Checkout Solutions &amp; PayPal</w:t>
            </w:r>
          </w:p>
        </w:tc>
        <w:tc>
          <w:tcPr>
            <w:tcW w:type="dxa" w:w="1440"/>
          </w:tcPr>
          <w:p>
            <w:r>
              <w:rPr>
                <w:rFonts w:ascii="Calibri" w:hAnsi="Calibri"/>
                <w:sz w:val="22"/>
              </w:rPr>
              <w:t>10b5-1 Planned Sale</w:t>
            </w:r>
          </w:p>
        </w:tc>
        <w:tc>
          <w:tcPr>
            <w:tcW w:type="dxa" w:w="1440"/>
          </w:tcPr>
          <w:p>
            <w:r>
              <w:rPr>
                <w:rFonts w:ascii="Calibri" w:hAnsi="Calibri"/>
                <w:sz w:val="22"/>
              </w:rPr>
              <w:t>4,612 shares</w:t>
            </w:r>
          </w:p>
        </w:tc>
        <w:tc>
          <w:tcPr>
            <w:tcW w:type="dxa" w:w="1440"/>
          </w:tcPr>
          <w:p>
            <w:r>
              <w:rPr>
                <w:rFonts w:ascii="Calibri" w:hAnsi="Calibri"/>
                <w:sz w:val="22"/>
              </w:rPr>
              <w:t>June 3, 2026</w:t>
            </w:r>
          </w:p>
        </w:tc>
        <w:tc>
          <w:tcPr>
            <w:tcW w:type="dxa" w:w="1440"/>
          </w:tcPr>
          <w:p>
            <w:r>
              <w:rPr>
                <w:rFonts w:ascii="Calibri" w:hAnsi="Calibri"/>
                <w:sz w:val="22"/>
              </w:rPr>
              <w:t>Pre-planned 10b5-1 sale; obligation-driven; not discretionary</w:t>
            </w:r>
          </w:p>
        </w:tc>
      </w:tr>
      <w:tr>
        <w:tc>
          <w:tcPr>
            <w:tcW w:type="dxa" w:w="1440"/>
          </w:tcPr>
          <w:p>
            <w:r>
              <w:rPr>
                <w:rFonts w:ascii="Calibri" w:hAnsi="Calibri"/>
                <w:sz w:val="22"/>
              </w:rPr>
              <w:t>Kereere, Suzan</w:t>
            </w:r>
          </w:p>
        </w:tc>
        <w:tc>
          <w:tcPr>
            <w:tcW w:type="dxa" w:w="1440"/>
          </w:tcPr>
          <w:p>
            <w:r>
              <w:rPr>
                <w:rFonts w:ascii="Calibri" w:hAnsi="Calibri"/>
                <w:sz w:val="22"/>
              </w:rPr>
              <w:t>President, Global Markets</w:t>
            </w:r>
          </w:p>
        </w:tc>
        <w:tc>
          <w:tcPr>
            <w:tcW w:type="dxa" w:w="1440"/>
          </w:tcPr>
          <w:p>
            <w:r>
              <w:rPr>
                <w:rFonts w:ascii="Calibri" w:hAnsi="Calibri"/>
                <w:sz w:val="22"/>
              </w:rPr>
              <w:t>10b5-1 Planned Sale</w:t>
            </w:r>
          </w:p>
        </w:tc>
        <w:tc>
          <w:tcPr>
            <w:tcW w:type="dxa" w:w="1440"/>
          </w:tcPr>
          <w:p>
            <w:r>
              <w:rPr>
                <w:rFonts w:ascii="Calibri" w:hAnsi="Calibri"/>
                <w:sz w:val="22"/>
              </w:rPr>
              <w:t>3,379 shares</w:t>
            </w:r>
          </w:p>
        </w:tc>
        <w:tc>
          <w:tcPr>
            <w:tcW w:type="dxa" w:w="1440"/>
          </w:tcPr>
          <w:p>
            <w:r>
              <w:rPr>
                <w:rFonts w:ascii="Calibri" w:hAnsi="Calibri"/>
                <w:sz w:val="22"/>
              </w:rPr>
              <w:t>June 3, 2026</w:t>
            </w:r>
          </w:p>
        </w:tc>
        <w:tc>
          <w:tcPr>
            <w:tcW w:type="dxa" w:w="1440"/>
          </w:tcPr>
          <w:p>
            <w:r>
              <w:rPr>
                <w:rFonts w:ascii="Calibri" w:hAnsi="Calibri"/>
                <w:sz w:val="22"/>
              </w:rPr>
              <w:t>Pre-planned 10b5-1 sale; obligation-driven; not discretionary</w:t>
            </w:r>
          </w:p>
        </w:tc>
      </w:tr>
      <w:tr>
        <w:tc>
          <w:tcPr>
            <w:tcW w:type="dxa" w:w="1440"/>
          </w:tcPr>
          <w:p>
            <w:r>
              <w:rPr>
                <w:rFonts w:ascii="Calibri" w:hAnsi="Calibri"/>
                <w:sz w:val="22"/>
              </w:rPr>
              <w:t>Natali, Chris</w:t>
            </w:r>
          </w:p>
        </w:tc>
        <w:tc>
          <w:tcPr>
            <w:tcW w:type="dxa" w:w="1440"/>
          </w:tcPr>
          <w:p>
            <w:r>
              <w:rPr>
                <w:rFonts w:ascii="Calibri" w:hAnsi="Calibri"/>
                <w:sz w:val="22"/>
              </w:rPr>
              <w:t>SVP, Chief Accounting Officer</w:t>
            </w:r>
          </w:p>
        </w:tc>
        <w:tc>
          <w:tcPr>
            <w:tcW w:type="dxa" w:w="1440"/>
          </w:tcPr>
          <w:p>
            <w:r>
              <w:rPr>
                <w:rFonts w:ascii="Calibri" w:hAnsi="Calibri"/>
                <w:sz w:val="22"/>
              </w:rPr>
              <w:t>10b5-1 Planned Sale</w:t>
            </w:r>
          </w:p>
        </w:tc>
        <w:tc>
          <w:tcPr>
            <w:tcW w:type="dxa" w:w="1440"/>
          </w:tcPr>
          <w:p>
            <w:r>
              <w:rPr>
                <w:rFonts w:ascii="Calibri" w:hAnsi="Calibri"/>
                <w:sz w:val="22"/>
              </w:rPr>
              <w:t>552 shares</w:t>
            </w:r>
          </w:p>
        </w:tc>
        <w:tc>
          <w:tcPr>
            <w:tcW w:type="dxa" w:w="1440"/>
          </w:tcPr>
          <w:p>
            <w:r>
              <w:rPr>
                <w:rFonts w:ascii="Calibri" w:hAnsi="Calibri"/>
                <w:sz w:val="22"/>
              </w:rPr>
              <w:t>June 3, 2026</w:t>
            </w:r>
          </w:p>
        </w:tc>
        <w:tc>
          <w:tcPr>
            <w:tcW w:type="dxa" w:w="1440"/>
          </w:tcPr>
          <w:p>
            <w:r>
              <w:rPr>
                <w:rFonts w:ascii="Calibri" w:hAnsi="Calibri"/>
                <w:sz w:val="22"/>
              </w:rPr>
              <w:t>Pre-planned 10b5-1 sale; obligation-driven; not discretionary</w:t>
            </w:r>
          </w:p>
        </w:tc>
      </w:tr>
      <w:tr>
        <w:tc>
          <w:tcPr>
            <w:tcW w:type="dxa" w:w="1440"/>
          </w:tcPr>
          <w:p>
            <w:r>
              <w:rPr>
                <w:rFonts w:ascii="Calibri" w:hAnsi="Calibri"/>
                <w:sz w:val="22"/>
              </w:rPr>
              <w:t>Kereere, Suzan</w:t>
            </w:r>
          </w:p>
        </w:tc>
        <w:tc>
          <w:tcPr>
            <w:tcW w:type="dxa" w:w="1440"/>
          </w:tcPr>
          <w:p>
            <w:r>
              <w:rPr>
                <w:rFonts w:ascii="Calibri" w:hAnsi="Calibri"/>
                <w:sz w:val="22"/>
              </w:rPr>
              <w:t>President, Global Markets</w:t>
            </w:r>
          </w:p>
        </w:tc>
        <w:tc>
          <w:tcPr>
            <w:tcW w:type="dxa" w:w="1440"/>
          </w:tcPr>
          <w:p>
            <w:r>
              <w:rPr>
                <w:rFonts w:ascii="Calibri" w:hAnsi="Calibri"/>
                <w:sz w:val="22"/>
              </w:rPr>
              <w:t>10b5-1 Planned Sale</w:t>
            </w:r>
          </w:p>
        </w:tc>
        <w:tc>
          <w:tcPr>
            <w:tcW w:type="dxa" w:w="1440"/>
          </w:tcPr>
          <w:p>
            <w:r>
              <w:rPr>
                <w:rFonts w:ascii="Calibri" w:hAnsi="Calibri"/>
                <w:sz w:val="22"/>
              </w:rPr>
              <w:t>4,162 shares</w:t>
            </w:r>
          </w:p>
        </w:tc>
        <w:tc>
          <w:tcPr>
            <w:tcW w:type="dxa" w:w="1440"/>
          </w:tcPr>
          <w:p>
            <w:r>
              <w:rPr>
                <w:rFonts w:ascii="Calibri" w:hAnsi="Calibri"/>
                <w:sz w:val="22"/>
              </w:rPr>
              <w:t>May 19, 2026</w:t>
            </w:r>
          </w:p>
        </w:tc>
        <w:tc>
          <w:tcPr>
            <w:tcW w:type="dxa" w:w="1440"/>
          </w:tcPr>
          <w:p>
            <w:r>
              <w:rPr>
                <w:rFonts w:ascii="Calibri" w:hAnsi="Calibri"/>
                <w:sz w:val="22"/>
              </w:rPr>
              <w:t>Pre-planned 10b5-1 sale; obligation-driven; not discretionary</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Annual Equity Award (Grant)</w:t>
            </w:r>
          </w:p>
        </w:tc>
        <w:tc>
          <w:tcPr>
            <w:tcW w:type="dxa" w:w="1440"/>
          </w:tcPr>
          <w:p>
            <w:r>
              <w:rPr>
                <w:rFonts w:ascii="Calibri" w:hAnsi="Calibri"/>
                <w:sz w:val="22"/>
              </w:rPr>
              <w:t>6,275 shares each (routine annual grant)</w:t>
            </w:r>
          </w:p>
        </w:tc>
        <w:tc>
          <w:tcPr>
            <w:tcW w:type="dxa" w:w="1440"/>
          </w:tcPr>
          <w:p>
            <w:r>
              <w:rPr>
                <w:rFonts w:ascii="Calibri" w:hAnsi="Calibri"/>
                <w:sz w:val="22"/>
              </w:rPr>
              <w:t>May 19, 2026</w:t>
            </w:r>
          </w:p>
        </w:tc>
        <w:tc>
          <w:tcPr>
            <w:tcW w:type="dxa" w:w="1440"/>
          </w:tcPr>
          <w:p>
            <w:r>
              <w:rPr>
                <w:rFonts w:ascii="Calibri" w:hAnsi="Calibri"/>
                <w:sz w:val="22"/>
              </w:rPr>
              <w:t>Routine annual director equity compensation; not a market transaction</w:t>
            </w:r>
          </w:p>
        </w:tc>
      </w:tr>
    </w:tbl>
    <w:p>
      <w:r>
        <w:rPr>
          <w:rFonts w:ascii="Calibri" w:hAnsi="Calibri"/>
          <w:i/>
          <w:color w:val="525866"/>
          <w:sz w:val="22"/>
        </w:rPr>
        <w:t>The dominant insider signal is CFO Miller’s discretionary open market purchase of 6,129 shares on June 15, 2026 — executed when the stock was trading near $42–43, well below the current price and the reported acquisition offer. This is a rare discretionary buy by a C-suite executive and represents a meaningful vote of confidence in the standalone value of the business. All other transactions are either pre-planned 10b5-1 sales (obligation-driven, non-signaling), RSU vesting with tax withholding (routine), or equity award grants (compensation). No open market sales by executives were identified in the period.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