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PayPal Holdings (PYPL)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PayPal Holdings, Inc.</w:t>
            </w:r>
          </w:p>
        </w:tc>
      </w:tr>
      <w:tr>
        <w:tc>
          <w:tcPr>
            <w:tcW w:type="dxa" w:w="4320"/>
          </w:tcPr>
          <w:p>
            <w:r>
              <w:rPr>
                <w:rFonts w:ascii="Calibri" w:hAnsi="Calibri"/>
                <w:b/>
                <w:sz w:val="22"/>
              </w:rPr>
              <w:t>Ticker</w:t>
            </w:r>
          </w:p>
        </w:tc>
        <w:tc>
          <w:tcPr>
            <w:tcW w:type="dxa" w:w="4320"/>
          </w:tcPr>
          <w:p>
            <w:r>
              <w:rPr>
                <w:rFonts w:ascii="Calibri" w:hAnsi="Calibri"/>
                <w:sz w:val="22"/>
              </w:rPr>
              <w:t>PYPL (NASDAQ)</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July 28, 2026 — 8:00 AM ET</w:t>
            </w:r>
          </w:p>
        </w:tc>
      </w:tr>
      <w:tr>
        <w:tc>
          <w:tcPr>
            <w:tcW w:type="dxa" w:w="4320"/>
          </w:tcPr>
          <w:p>
            <w:r>
              <w:rPr>
                <w:rFonts w:ascii="Calibri" w:hAnsi="Calibri"/>
                <w:b/>
                <w:sz w:val="22"/>
              </w:rPr>
              <w:t>Prepared</w:t>
            </w:r>
          </w:p>
        </w:tc>
        <w:tc>
          <w:tcPr>
            <w:tcW w:type="dxa" w:w="4320"/>
          </w:tcPr>
          <w:p>
            <w:r>
              <w:rPr>
                <w:rFonts w:ascii="Calibri" w:hAnsi="Calibri"/>
                <w:sz w:val="22"/>
              </w:rPr>
              <w:t>July 27, 2026</w:t>
            </w:r>
          </w:p>
        </w:tc>
      </w:tr>
      <w:tr>
        <w:tc>
          <w:tcPr>
            <w:tcW w:type="dxa" w:w="4320"/>
          </w:tcPr>
          <w:p>
            <w:r>
              <w:rPr>
                <w:rFonts w:ascii="Calibri" w:hAnsi="Calibri"/>
                <w:b/>
                <w:sz w:val="22"/>
              </w:rPr>
              <w:t>Sector ETF (Benchmark)</w:t>
            </w:r>
          </w:p>
        </w:tc>
        <w:tc>
          <w:tcPr>
            <w:tcW w:type="dxa" w:w="4320"/>
          </w:tcPr>
          <w:p>
            <w:r>
              <w:rPr>
                <w:rFonts w:ascii="Calibri" w:hAnsi="Calibri"/>
                <w:sz w:val="22"/>
              </w:rPr>
              <w:t>IPAY (ETF Managers Group — Digital Payments ETF)</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The setup is mixed-to-cautious — consensus is a manageable bar given Q2 guidance was explicitly flagged as the toughest year-over-year comparison of 2026, but the stock has surged ~20% on M&amp;A speculation, creating a high-stakes print where fundamental execution must now justify the re-rating. </w:t>
      </w:r>
      <w:r>
        <w:rPr>
          <w:rFonts w:ascii="Calibri" w:hAnsi="Calibri"/>
          <w:b/>
          <w:color w:val="525866"/>
          <w:sz w:val="22"/>
        </w:rPr>
        <w:t>The single biggest swing factor is whether branded checkout TPV trends improved through June or remained stuck at the low end of full-year guidance.</w:t>
      </w:r>
    </w:p>
    <w:p>
      <w:r>
        <w:rPr>
          <w:rFonts w:ascii="Calibri" w:hAnsi="Calibri"/>
          <w:color w:val="525866"/>
          <w:sz w:val="22"/>
        </w:rPr>
        <w:t xml:space="preserve">Heading into Q2 2026 results, PayPal faces its most demanding year-over-year comparison of the year: management guided for </w:t>
      </w:r>
      <w:r>
        <w:rPr>
          <w:rFonts w:ascii="Calibri" w:hAnsi="Calibri"/>
          <w:b/>
          <w:color w:val="525866"/>
          <w:sz w:val="22"/>
        </w:rPr>
        <w:t>high-single-digit non-GAAP EPS decline (~9%)</w:t>
      </w:r>
      <w:r>
        <w:rPr>
          <w:rFonts w:ascii="Calibri" w:hAnsi="Calibri"/>
          <w:color w:val="525866"/>
          <w:sz w:val="22"/>
        </w:rPr>
        <w:t xml:space="preserve"> and low-single-digit revenue growth on a currency-neutral basis, with transaction margin dollars ex-interest expected to decline ~2% — all pressured by a 1.5-point prior-year benefit from a key payment partner renewal and ramping investment spend. The bar is explicitly low by management's own framing, which creates room for a modest beat, but the stock has already surged roughly 20% from its pre-M&amp;A-report level (~$47) to ~$56 on the Stripe/Advent takeover bid news (July 15), meaning the market is now pricing in a significant optionality premium that has little to do with Q2 fundamentals. Estimate revisions have been remarkably stable since the Q1 print — Q2 EPS consensus has barely moved from $1.41 to $1.42 and revenue consensus sits at ~$8.47B — suggesting the Street has not materially revised its view of the quarter in either direction. The wildcard is the M&amp;A overhang: PayPal's board has reportedly rejected the Stripe/Advent $60.50/share bid as inadequate, and with earnings arriving before any deal resolution, management will face pointed questions about strategic alternatives that could overshadow the fundamental print entirely. On the operating side, the key unknown is whether branded checkout TPV exited Q2 at the low end of full-year guidance (as flagged quarter-to-date at the Bernstein conference in late May) or showed any sequential improvement through June, which would be the first concrete evidence of CEO Enrique Lores's turnaround gaining traction.</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low bar — management pre-framed Q2 as the weakest quarter of the year. </w:t>
      </w:r>
      <w:r>
        <w:rPr>
          <w:rFonts w:ascii="Calibri" w:hAnsi="Calibri"/>
          <w:b/>
          <w:color w:val="525866"/>
          <w:sz w:val="22"/>
        </w:rPr>
        <w:t>Transaction margin dollars ex-interest is the bigger swing factor</w:t>
      </w:r>
      <w:r>
        <w:rPr>
          <w:rFonts w:ascii="Calibri" w:hAnsi="Calibri"/>
          <w:color w:val="525866"/>
          <w:sz w:val="22"/>
        </w:rPr>
        <w:t>; a beat there would signal the investment ramp is not as punishing as feared, while branded checkout TPV growth is the read-through on strategic recovery momentum.</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 (Est.)</w:t>
            </w:r>
          </w:p>
        </w:tc>
        <w:tc>
          <w:tcPr>
            <w:tcW w:type="dxa" w:w="1234"/>
            <w:shd w:val="clear" w:color="auto" w:fill="3B4259"/>
          </w:tcPr>
          <w:p>
            <w:r>
              <w:rPr>
                <w:rFonts w:ascii="Calibri" w:hAnsi="Calibri"/>
                <w:b/>
                <w:color w:val="FFFFFF"/>
                <w:sz w:val="22"/>
              </w:rPr>
              <w:t>Q2 2026 Guidance (Mgmt)</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Net Revenue ($B)</w:t>
            </w:r>
          </w:p>
        </w:tc>
        <w:tc>
          <w:tcPr>
            <w:tcW w:type="dxa" w:w="1234"/>
          </w:tcPr>
          <w:p>
            <w:r>
              <w:rPr>
                <w:rFonts w:ascii="Calibri" w:hAnsi="Calibri"/>
                <w:sz w:val="22"/>
              </w:rPr>
              <w:t>$8.353B</w:t>
            </w:r>
          </w:p>
        </w:tc>
        <w:tc>
          <w:tcPr>
            <w:tcW w:type="dxa" w:w="1234"/>
          </w:tcPr>
          <w:p>
            <w:r>
              <w:rPr>
                <w:rFonts w:ascii="Calibri" w:hAnsi="Calibri"/>
                <w:sz w:val="22"/>
              </w:rPr>
              <w:t>$8.288B</w:t>
            </w:r>
          </w:p>
        </w:tc>
        <w:tc>
          <w:tcPr>
            <w:tcW w:type="dxa" w:w="1234"/>
          </w:tcPr>
          <w:p>
            <w:r>
              <w:rPr>
                <w:rFonts w:ascii="Calibri" w:hAnsi="Calibri"/>
                <w:sz w:val="22"/>
              </w:rPr>
              <w:t>$8.469B</w:t>
            </w:r>
          </w:p>
        </w:tc>
        <w:tc>
          <w:tcPr>
            <w:tcW w:type="dxa" w:w="1234"/>
          </w:tcPr>
          <w:p>
            <w:r>
              <w:rPr>
                <w:rFonts w:ascii="Calibri" w:hAnsi="Calibri"/>
                <w:sz w:val="22"/>
              </w:rPr>
              <w:t>+2.2% YoY</w:t>
            </w:r>
          </w:p>
        </w:tc>
        <w:tc>
          <w:tcPr>
            <w:tcW w:type="dxa" w:w="1234"/>
          </w:tcPr>
          <w:p>
            <w:r>
              <w:rPr>
                <w:rFonts w:ascii="Calibri" w:hAnsi="Calibri"/>
                <w:sz w:val="22"/>
              </w:rPr>
              <w:t>Low single-digit growth (currency-neutral)</w:t>
            </w:r>
          </w:p>
        </w:tc>
        <w:tc>
          <w:tcPr>
            <w:tcW w:type="dxa" w:w="1234"/>
          </w:tcPr>
          <w:p>
            <w:r>
              <w:rPr>
                <w:rFonts w:ascii="Calibri" w:hAnsi="Calibri"/>
                <w:sz w:val="22"/>
              </w:rPr>
              <w:t>In line</w:t>
            </w:r>
          </w:p>
        </w:tc>
      </w:tr>
      <w:tr>
        <w:tc>
          <w:tcPr>
            <w:tcW w:type="dxa" w:w="1234"/>
          </w:tcPr>
          <w:p>
            <w:r>
              <w:rPr>
                <w:rFonts w:ascii="Calibri" w:hAnsi="Calibri"/>
                <w:sz w:val="22"/>
              </w:rPr>
              <w:t>Non-GAAP EPS (Diluted)</w:t>
            </w:r>
          </w:p>
        </w:tc>
        <w:tc>
          <w:tcPr>
            <w:tcW w:type="dxa" w:w="1234"/>
          </w:tcPr>
          <w:p>
            <w:r>
              <w:rPr>
                <w:rFonts w:ascii="Calibri" w:hAnsi="Calibri"/>
                <w:sz w:val="22"/>
              </w:rPr>
              <w:t>$1.465</w:t>
            </w:r>
          </w:p>
        </w:tc>
        <w:tc>
          <w:tcPr>
            <w:tcW w:type="dxa" w:w="1234"/>
          </w:tcPr>
          <w:p>
            <w:r>
              <w:rPr>
                <w:rFonts w:ascii="Calibri" w:hAnsi="Calibri"/>
                <w:sz w:val="22"/>
              </w:rPr>
              <w:t>$1.582</w:t>
            </w:r>
          </w:p>
        </w:tc>
        <w:tc>
          <w:tcPr>
            <w:tcW w:type="dxa" w:w="1234"/>
          </w:tcPr>
          <w:p>
            <w:r>
              <w:rPr>
                <w:rFonts w:ascii="Calibri" w:hAnsi="Calibri"/>
                <w:sz w:val="22"/>
              </w:rPr>
              <w:t>$1.417</w:t>
            </w:r>
          </w:p>
        </w:tc>
        <w:tc>
          <w:tcPr>
            <w:tcW w:type="dxa" w:w="1234"/>
          </w:tcPr>
          <w:p>
            <w:r>
              <w:rPr>
                <w:rFonts w:ascii="Calibri" w:hAnsi="Calibri"/>
                <w:sz w:val="22"/>
              </w:rPr>
              <w:t>-10.4% YoY</w:t>
            </w:r>
          </w:p>
        </w:tc>
        <w:tc>
          <w:tcPr>
            <w:tcW w:type="dxa" w:w="1234"/>
          </w:tcPr>
          <w:p>
            <w:r>
              <w:rPr>
                <w:rFonts w:ascii="Calibri" w:hAnsi="Calibri"/>
                <w:sz w:val="22"/>
              </w:rPr>
              <w:t>Decline ~9% YoY (high single digits)</w:t>
            </w:r>
          </w:p>
        </w:tc>
        <w:tc>
          <w:tcPr>
            <w:tcW w:type="dxa" w:w="1234"/>
          </w:tcPr>
          <w:p>
            <w:r>
              <w:rPr>
                <w:rFonts w:ascii="Calibri" w:hAnsi="Calibri"/>
                <w:sz w:val="22"/>
              </w:rPr>
              <w:t>Slightly below guidance midpoint</w:t>
            </w:r>
          </w:p>
        </w:tc>
      </w:tr>
      <w:tr>
        <w:tc>
          <w:tcPr>
            <w:tcW w:type="dxa" w:w="1234"/>
          </w:tcPr>
          <w:p>
            <w:r>
              <w:rPr>
                <w:rFonts w:ascii="Calibri" w:hAnsi="Calibri"/>
                <w:sz w:val="22"/>
              </w:rPr>
              <w:t>Total Payment Volume / TPV ($B)</w:t>
            </w:r>
          </w:p>
        </w:tc>
        <w:tc>
          <w:tcPr>
            <w:tcW w:type="dxa" w:w="1234"/>
          </w:tcPr>
          <w:p>
            <w:r>
              <w:rPr>
                <w:rFonts w:ascii="Calibri" w:hAnsi="Calibri"/>
                <w:sz w:val="22"/>
              </w:rPr>
              <w:t>$464.0B</w:t>
            </w:r>
          </w:p>
        </w:tc>
        <w:tc>
          <w:tcPr>
            <w:tcW w:type="dxa" w:w="1234"/>
          </w:tcPr>
          <w:p>
            <w:r>
              <w:rPr>
                <w:rFonts w:ascii="Calibri" w:hAnsi="Calibri"/>
                <w:sz w:val="22"/>
              </w:rPr>
              <w:t>$443.5B</w:t>
            </w:r>
          </w:p>
        </w:tc>
        <w:tc>
          <w:tcPr>
            <w:tcW w:type="dxa" w:w="1234"/>
          </w:tcPr>
          <w:p>
            <w:r>
              <w:rPr>
                <w:rFonts w:ascii="Calibri" w:hAnsi="Calibri"/>
                <w:sz w:val="22"/>
              </w:rPr>
              <w:t>$473.0B</w:t>
            </w:r>
          </w:p>
        </w:tc>
        <w:tc>
          <w:tcPr>
            <w:tcW w:type="dxa" w:w="1234"/>
          </w:tcPr>
          <w:p>
            <w:r>
              <w:rPr>
                <w:rFonts w:ascii="Calibri" w:hAnsi="Calibri"/>
                <w:sz w:val="22"/>
              </w:rPr>
              <w:t>+6.7% YoY</w:t>
            </w:r>
          </w:p>
        </w:tc>
        <w:tc>
          <w:tcPr>
            <w:tcW w:type="dxa" w:w="1234"/>
          </w:tcPr>
          <w:p>
            <w:r>
              <w:rPr>
                <w:rFonts w:ascii="Calibri" w:hAnsi="Calibri"/>
                <w:sz w:val="22"/>
              </w:rPr>
              <w:t>No explicit Q2 guide; FY ~$1.92T</w:t>
            </w:r>
          </w:p>
        </w:tc>
        <w:tc>
          <w:tcPr>
            <w:tcW w:type="dxa" w:w="1234"/>
          </w:tcPr>
          <w:p>
            <w:r>
              <w:rPr>
                <w:rFonts w:ascii="Calibri" w:hAnsi="Calibri"/>
                <w:sz w:val="22"/>
              </w:rPr>
              <w:t>In line with FY run-rate</w:t>
            </w:r>
          </w:p>
        </w:tc>
      </w:tr>
      <w:tr>
        <w:tc>
          <w:tcPr>
            <w:tcW w:type="dxa" w:w="1234"/>
          </w:tcPr>
          <w:p>
            <w:r>
              <w:rPr>
                <w:rFonts w:ascii="Calibri" w:hAnsi="Calibri"/>
                <w:sz w:val="22"/>
              </w:rPr>
              <w:t>Branded Checkout TPV ($B)</w:t>
            </w:r>
          </w:p>
        </w:tc>
        <w:tc>
          <w:tcPr>
            <w:tcW w:type="dxa" w:w="1234"/>
          </w:tcPr>
          <w:p>
            <w:r>
              <w:rPr>
                <w:rFonts w:ascii="Calibri" w:hAnsi="Calibri"/>
                <w:sz w:val="22"/>
              </w:rPr>
              <w:t>$134.5B</w:t>
            </w:r>
          </w:p>
        </w:tc>
        <w:tc>
          <w:tcPr>
            <w:tcW w:type="dxa" w:w="1234"/>
          </w:tcPr>
          <w:p>
            <w:r>
              <w:rPr>
                <w:rFonts w:ascii="Calibri" w:hAnsi="Calibri"/>
                <w:sz w:val="22"/>
              </w:rPr>
              <w:t>$128.6B</w:t>
            </w:r>
          </w:p>
        </w:tc>
        <w:tc>
          <w:tcPr>
            <w:tcW w:type="dxa" w:w="1234"/>
          </w:tcPr>
          <w:p>
            <w:r>
              <w:rPr>
                <w:rFonts w:ascii="Calibri" w:hAnsi="Calibri"/>
                <w:sz w:val="22"/>
              </w:rPr>
              <w:t>$131.7B</w:t>
            </w:r>
          </w:p>
        </w:tc>
        <w:tc>
          <w:tcPr>
            <w:tcW w:type="dxa" w:w="1234"/>
          </w:tcPr>
          <w:p>
            <w:r>
              <w:rPr>
                <w:rFonts w:ascii="Calibri" w:hAnsi="Calibri"/>
                <w:sz w:val="22"/>
              </w:rPr>
              <w:t>+2.4% YoY</w:t>
            </w:r>
          </w:p>
        </w:tc>
        <w:tc>
          <w:tcPr>
            <w:tcW w:type="dxa" w:w="1234"/>
          </w:tcPr>
          <w:p>
            <w:r>
              <w:rPr>
                <w:rFonts w:ascii="Calibri" w:hAnsi="Calibri"/>
                <w:sz w:val="22"/>
              </w:rPr>
              <w:t>Slightly positive to low single-digit FX-neutral growth (FY); Q2 at low end</w:t>
            </w:r>
          </w:p>
        </w:tc>
        <w:tc>
          <w:tcPr>
            <w:tcW w:type="dxa" w:w="1234"/>
          </w:tcPr>
          <w:p>
            <w:r>
              <w:rPr>
                <w:rFonts w:ascii="Calibri" w:hAnsi="Calibri"/>
                <w:sz w:val="22"/>
              </w:rPr>
              <w:t>At low end of guidance range</w:t>
            </w:r>
          </w:p>
        </w:tc>
      </w:tr>
      <w:tr>
        <w:tc>
          <w:tcPr>
            <w:tcW w:type="dxa" w:w="1234"/>
          </w:tcPr>
          <w:p>
            <w:r>
              <w:rPr>
                <w:rFonts w:ascii="Calibri" w:hAnsi="Calibri"/>
                <w:sz w:val="22"/>
              </w:rPr>
              <w:t>Branded Checkout TPV Growth (FX-neutral, %)</w:t>
            </w:r>
          </w:p>
        </w:tc>
        <w:tc>
          <w:tcPr>
            <w:tcW w:type="dxa" w:w="1234"/>
          </w:tcPr>
          <w:p>
            <w:r>
              <w:rPr>
                <w:rFonts w:ascii="Calibri" w:hAnsi="Calibri"/>
                <w:sz w:val="22"/>
              </w:rPr>
              <w:t>+2.0%</w:t>
            </w:r>
          </w:p>
        </w:tc>
        <w:tc>
          <w:tcPr>
            <w:tcW w:type="dxa" w:w="1234"/>
          </w:tcPr>
          <w:p>
            <w:r>
              <w:rPr>
                <w:rFonts w:ascii="Calibri" w:hAnsi="Calibri"/>
                <w:sz w:val="22"/>
              </w:rPr>
              <w:t>+5.0%</w:t>
            </w:r>
          </w:p>
        </w:tc>
        <w:tc>
          <w:tcPr>
            <w:tcW w:type="dxa" w:w="1234"/>
          </w:tcPr>
          <w:p>
            <w:r>
              <w:rPr>
                <w:rFonts w:ascii="Calibri" w:hAnsi="Calibri"/>
                <w:sz w:val="22"/>
              </w:rPr>
              <w:t>~+0.6%</w:t>
            </w:r>
          </w:p>
        </w:tc>
        <w:tc>
          <w:tcPr>
            <w:tcW w:type="dxa" w:w="1234"/>
          </w:tcPr>
          <w:p>
            <w:r>
              <w:rPr>
                <w:rFonts w:ascii="Calibri" w:hAnsi="Calibri"/>
                <w:sz w:val="22"/>
              </w:rPr>
              <w:t>-4.4 pts YoY</w:t>
            </w:r>
          </w:p>
        </w:tc>
        <w:tc>
          <w:tcPr>
            <w:tcW w:type="dxa" w:w="1234"/>
          </w:tcPr>
          <w:p>
            <w:r>
              <w:rPr>
                <w:rFonts w:ascii="Calibri" w:hAnsi="Calibri"/>
                <w:sz w:val="22"/>
              </w:rPr>
              <w:t>Low end of FY guide (slightly positive to low single digits)</w:t>
            </w:r>
          </w:p>
        </w:tc>
        <w:tc>
          <w:tcPr>
            <w:tcW w:type="dxa" w:w="1234"/>
          </w:tcPr>
          <w:p>
            <w:r>
              <w:rPr>
                <w:rFonts w:ascii="Calibri" w:hAnsi="Calibri"/>
                <w:sz w:val="22"/>
              </w:rPr>
              <w:t>At low end</w:t>
            </w:r>
          </w:p>
        </w:tc>
      </w:tr>
      <w:tr>
        <w:tc>
          <w:tcPr>
            <w:tcW w:type="dxa" w:w="1234"/>
          </w:tcPr>
          <w:p>
            <w:r>
              <w:rPr>
                <w:rFonts w:ascii="Calibri" w:hAnsi="Calibri"/>
                <w:sz w:val="22"/>
              </w:rPr>
              <w:t>Transaction Margin Dollars ($B)</w:t>
            </w:r>
          </w:p>
        </w:tc>
        <w:tc>
          <w:tcPr>
            <w:tcW w:type="dxa" w:w="1234"/>
          </w:tcPr>
          <w:p>
            <w:r>
              <w:rPr>
                <w:rFonts w:ascii="Calibri" w:hAnsi="Calibri"/>
                <w:sz w:val="22"/>
              </w:rPr>
              <w:t>$3.810B</w:t>
            </w:r>
          </w:p>
        </w:tc>
        <w:tc>
          <w:tcPr>
            <w:tcW w:type="dxa" w:w="1234"/>
          </w:tcPr>
          <w:p>
            <w:r>
              <w:rPr>
                <w:rFonts w:ascii="Calibri" w:hAnsi="Calibri"/>
                <w:sz w:val="22"/>
              </w:rPr>
              <w:t>$3.844B</w:t>
            </w:r>
          </w:p>
        </w:tc>
        <w:tc>
          <w:tcPr>
            <w:tcW w:type="dxa" w:w="1234"/>
          </w:tcPr>
          <w:p>
            <w:r>
              <w:rPr>
                <w:rFonts w:ascii="Calibri" w:hAnsi="Calibri"/>
                <w:sz w:val="22"/>
              </w:rPr>
              <w:t>$3.741B</w:t>
            </w:r>
          </w:p>
        </w:tc>
        <w:tc>
          <w:tcPr>
            <w:tcW w:type="dxa" w:w="1234"/>
          </w:tcPr>
          <w:p>
            <w:r>
              <w:rPr>
                <w:rFonts w:ascii="Calibri" w:hAnsi="Calibri"/>
                <w:sz w:val="22"/>
              </w:rPr>
              <w:t>-2.7% YoY</w:t>
            </w:r>
          </w:p>
        </w:tc>
        <w:tc>
          <w:tcPr>
            <w:tcW w:type="dxa" w:w="1234"/>
          </w:tcPr>
          <w:p>
            <w:r>
              <w:rPr>
                <w:rFonts w:ascii="Calibri" w:hAnsi="Calibri"/>
                <w:sz w:val="22"/>
              </w:rPr>
              <w:t>Decline ~2% YoY ex-interest; ~3% overall</w:t>
            </w:r>
          </w:p>
        </w:tc>
        <w:tc>
          <w:tcPr>
            <w:tcW w:type="dxa" w:w="1234"/>
          </w:tcPr>
          <w:p>
            <w:r>
              <w:rPr>
                <w:rFonts w:ascii="Calibri" w:hAnsi="Calibri"/>
                <w:sz w:val="22"/>
              </w:rPr>
              <w:t>In line with guidance</w:t>
            </w:r>
          </w:p>
        </w:tc>
      </w:tr>
    </w:tbl>
    <w:p>
      <w:r>
        <w:rPr>
          <w:rFonts w:ascii="Calibri" w:hAnsi="Calibri"/>
          <w:b/>
          <w:color w:val="525866"/>
          <w:sz w:val="22"/>
        </w:rPr>
        <w:t xml:space="preserve">Sources: </w:t>
      </w:r>
      <w:r>
        <w:rPr>
          <w:rFonts w:ascii="Calibri" w:hAnsi="Calibri"/>
          <w:color w:val="525866"/>
          <w:sz w:val="22"/>
        </w:rPr>
        <w:t>Net Revenue, Non-GAAP EPS, TPV, Branded Checkout TPV, and Transaction Margin Dollars — Visible Alpha Consensus and Actuals Data. Guidance figures from Q1 2026 Earnings Call (May 5, 2026) and Bernstein Strategic Decisions Conference (May 27, 2026).</w:t>
      </w:r>
    </w:p>
    <w:p>
      <w:pPr>
        <w:pStyle w:val="Heading3"/>
      </w:pPr>
      <w:r>
        <w:rPr>
          <w:rFonts w:ascii="Calibri" w:hAnsi="Calibri"/>
          <w:b/>
          <w:color w:val="3B4259"/>
          <w:sz w:val="24"/>
        </w:rPr>
        <w:t>Table 2 — Beat / Miss History (Last 8 Quarters)</w:t>
      </w:r>
    </w:p>
    <w:p>
      <w:pPr>
        <w:pStyle w:val="Heading4"/>
      </w:pPr>
      <w:r>
        <w:rPr>
          <w:rFonts w:ascii="Calibri" w:hAnsi="Calibri"/>
          <w:b/>
          <w:color w:val="3B4259"/>
          <w:sz w:val="22"/>
        </w:rPr>
        <w:t>Top KPI #1: Non-GAAP Diluted EPS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$1.465</w:t>
            </w:r>
          </w:p>
        </w:tc>
        <w:tc>
          <w:tcPr>
            <w:tcW w:type="dxa" w:w="1728"/>
          </w:tcPr>
          <w:p>
            <w:r>
              <w:rPr>
                <w:rFonts w:ascii="Calibri" w:hAnsi="Calibri"/>
                <w:sz w:val="22"/>
              </w:rPr>
              <w:t>$1.410</w:t>
            </w:r>
          </w:p>
        </w:tc>
        <w:tc>
          <w:tcPr>
            <w:tcW w:type="dxa" w:w="1728"/>
          </w:tcPr>
          <w:p>
            <w:r>
              <w:rPr>
                <w:rFonts w:ascii="Calibri" w:hAnsi="Calibri"/>
                <w:b/>
                <w:color w:val="30A46C"/>
                <w:sz w:val="22"/>
              </w:rPr>
              <w:t>+3.9%</w:t>
            </w:r>
          </w:p>
        </w:tc>
        <w:tc>
          <w:tcPr>
            <w:tcW w:type="dxa" w:w="1728"/>
          </w:tcPr>
          <w:p>
            <w:r>
              <w:rPr>
                <w:rFonts w:ascii="Calibri" w:hAnsi="Calibri"/>
                <w:sz w:val="22"/>
              </w:rPr>
              <w:t>Beat</w:t>
            </w:r>
          </w:p>
        </w:tc>
      </w:tr>
      <w:tr>
        <w:tc>
          <w:tcPr>
            <w:tcW w:type="dxa" w:w="1728"/>
          </w:tcPr>
          <w:p>
            <w:r>
              <w:rPr>
                <w:rFonts w:ascii="Calibri" w:hAnsi="Calibri"/>
                <w:sz w:val="22"/>
              </w:rPr>
              <w:t>Q4 2025</w:t>
            </w:r>
          </w:p>
        </w:tc>
        <w:tc>
          <w:tcPr>
            <w:tcW w:type="dxa" w:w="1728"/>
          </w:tcPr>
          <w:p>
            <w:r>
              <w:rPr>
                <w:rFonts w:ascii="Calibri" w:hAnsi="Calibri"/>
                <w:sz w:val="22"/>
              </w:rPr>
              <w:t>$1.384</w:t>
            </w:r>
          </w:p>
        </w:tc>
        <w:tc>
          <w:tcPr>
            <w:tcW w:type="dxa" w:w="1728"/>
          </w:tcPr>
          <w:p>
            <w:r>
              <w:rPr>
                <w:rFonts w:ascii="Calibri" w:hAnsi="Calibri"/>
                <w:sz w:val="22"/>
              </w:rPr>
              <w:t>$1.491</w:t>
            </w:r>
          </w:p>
        </w:tc>
        <w:tc>
          <w:tcPr>
            <w:tcW w:type="dxa" w:w="1728"/>
          </w:tcPr>
          <w:p>
            <w:r>
              <w:rPr>
                <w:rFonts w:ascii="Calibri" w:hAnsi="Calibri"/>
                <w:b/>
                <w:color w:val="E5484D"/>
                <w:sz w:val="22"/>
              </w:rPr>
              <w:t>-7.2%</w:t>
            </w:r>
          </w:p>
        </w:tc>
        <w:tc>
          <w:tcPr>
            <w:tcW w:type="dxa" w:w="1728"/>
          </w:tcPr>
          <w:p>
            <w:r>
              <w:rPr>
                <w:rFonts w:ascii="Calibri" w:hAnsi="Calibri"/>
                <w:sz w:val="22"/>
              </w:rPr>
              <w:t>Miss</w:t>
            </w:r>
          </w:p>
        </w:tc>
      </w:tr>
      <w:tr>
        <w:tc>
          <w:tcPr>
            <w:tcW w:type="dxa" w:w="1728"/>
          </w:tcPr>
          <w:p>
            <w:r>
              <w:rPr>
                <w:rFonts w:ascii="Calibri" w:hAnsi="Calibri"/>
                <w:sz w:val="22"/>
              </w:rPr>
              <w:t>Q3 2025</w:t>
            </w:r>
          </w:p>
        </w:tc>
        <w:tc>
          <w:tcPr>
            <w:tcW w:type="dxa" w:w="1728"/>
          </w:tcPr>
          <w:p>
            <w:r>
              <w:rPr>
                <w:rFonts w:ascii="Calibri" w:hAnsi="Calibri"/>
                <w:sz w:val="22"/>
              </w:rPr>
              <w:t>$1.502</w:t>
            </w:r>
          </w:p>
        </w:tc>
        <w:tc>
          <w:tcPr>
            <w:tcW w:type="dxa" w:w="1728"/>
          </w:tcPr>
          <w:p>
            <w:r>
              <w:rPr>
                <w:rFonts w:ascii="Calibri" w:hAnsi="Calibri"/>
                <w:sz w:val="22"/>
              </w:rPr>
              <w:t>$1.410</w:t>
            </w:r>
          </w:p>
        </w:tc>
        <w:tc>
          <w:tcPr>
            <w:tcW w:type="dxa" w:w="1728"/>
          </w:tcPr>
          <w:p>
            <w:r>
              <w:rPr>
                <w:rFonts w:ascii="Calibri" w:hAnsi="Calibri"/>
                <w:b/>
                <w:color w:val="30A46C"/>
                <w:sz w:val="22"/>
              </w:rPr>
              <w:t>+6.5%</w:t>
            </w:r>
          </w:p>
        </w:tc>
        <w:tc>
          <w:tcPr>
            <w:tcW w:type="dxa" w:w="1728"/>
          </w:tcPr>
          <w:p>
            <w:r>
              <w:rPr>
                <w:rFonts w:ascii="Calibri" w:hAnsi="Calibri"/>
                <w:sz w:val="22"/>
              </w:rPr>
              <w:t>Beat</w:t>
            </w:r>
          </w:p>
        </w:tc>
      </w:tr>
      <w:tr>
        <w:tc>
          <w:tcPr>
            <w:tcW w:type="dxa" w:w="1728"/>
          </w:tcPr>
          <w:p>
            <w:r>
              <w:rPr>
                <w:rFonts w:ascii="Calibri" w:hAnsi="Calibri"/>
                <w:sz w:val="22"/>
              </w:rPr>
              <w:t>Q2 2025</w:t>
            </w:r>
          </w:p>
        </w:tc>
        <w:tc>
          <w:tcPr>
            <w:tcW w:type="dxa" w:w="1728"/>
          </w:tcPr>
          <w:p>
            <w:r>
              <w:rPr>
                <w:rFonts w:ascii="Calibri" w:hAnsi="Calibri"/>
                <w:sz w:val="22"/>
              </w:rPr>
              <w:t>$1.582</w:t>
            </w:r>
          </w:p>
        </w:tc>
        <w:tc>
          <w:tcPr>
            <w:tcW w:type="dxa" w:w="1728"/>
          </w:tcPr>
          <w:p>
            <w:r>
              <w:rPr>
                <w:rFonts w:ascii="Calibri" w:hAnsi="Calibri"/>
                <w:sz w:val="22"/>
              </w:rPr>
              <w:t>$1.471</w:t>
            </w:r>
          </w:p>
        </w:tc>
        <w:tc>
          <w:tcPr>
            <w:tcW w:type="dxa" w:w="1728"/>
          </w:tcPr>
          <w:p>
            <w:r>
              <w:rPr>
                <w:rFonts w:ascii="Calibri" w:hAnsi="Calibri"/>
                <w:b/>
                <w:color w:val="30A46C"/>
                <w:sz w:val="22"/>
              </w:rPr>
              <w:t>+7.5%</w:t>
            </w:r>
          </w:p>
        </w:tc>
        <w:tc>
          <w:tcPr>
            <w:tcW w:type="dxa" w:w="1728"/>
          </w:tcPr>
          <w:p>
            <w:r>
              <w:rPr>
                <w:rFonts w:ascii="Calibri" w:hAnsi="Calibri"/>
                <w:sz w:val="22"/>
              </w:rPr>
              <w:t>Beat</w:t>
            </w:r>
          </w:p>
        </w:tc>
      </w:tr>
      <w:tr>
        <w:tc>
          <w:tcPr>
            <w:tcW w:type="dxa" w:w="1728"/>
          </w:tcPr>
          <w:p>
            <w:r>
              <w:rPr>
                <w:rFonts w:ascii="Calibri" w:hAnsi="Calibri"/>
                <w:sz w:val="22"/>
              </w:rPr>
              <w:t>Q1 2025</w:t>
            </w:r>
          </w:p>
        </w:tc>
        <w:tc>
          <w:tcPr>
            <w:tcW w:type="dxa" w:w="1728"/>
          </w:tcPr>
          <w:p>
            <w:r>
              <w:rPr>
                <w:rFonts w:ascii="Calibri" w:hAnsi="Calibri"/>
                <w:sz w:val="22"/>
              </w:rPr>
              <w:t>$1.541</w:t>
            </w:r>
          </w:p>
        </w:tc>
        <w:tc>
          <w:tcPr>
            <w:tcW w:type="dxa" w:w="1728"/>
          </w:tcPr>
          <w:p>
            <w:r>
              <w:rPr>
                <w:rFonts w:ascii="Calibri" w:hAnsi="Calibri"/>
                <w:sz w:val="22"/>
              </w:rPr>
              <w:t>$1.368</w:t>
            </w:r>
          </w:p>
        </w:tc>
        <w:tc>
          <w:tcPr>
            <w:tcW w:type="dxa" w:w="1728"/>
          </w:tcPr>
          <w:p>
            <w:r>
              <w:rPr>
                <w:rFonts w:ascii="Calibri" w:hAnsi="Calibri"/>
                <w:b/>
                <w:color w:val="30A46C"/>
                <w:sz w:val="22"/>
              </w:rPr>
              <w:t>+12.7%</w:t>
            </w:r>
          </w:p>
        </w:tc>
        <w:tc>
          <w:tcPr>
            <w:tcW w:type="dxa" w:w="1728"/>
          </w:tcPr>
          <w:p>
            <w:r>
              <w:rPr>
                <w:rFonts w:ascii="Calibri" w:hAnsi="Calibri"/>
                <w:sz w:val="22"/>
              </w:rPr>
              <w:t>Beat</w:t>
            </w:r>
          </w:p>
        </w:tc>
      </w:tr>
      <w:tr>
        <w:tc>
          <w:tcPr>
            <w:tcW w:type="dxa" w:w="1728"/>
          </w:tcPr>
          <w:p>
            <w:r>
              <w:rPr>
                <w:rFonts w:ascii="Calibri" w:hAnsi="Calibri"/>
                <w:sz w:val="22"/>
              </w:rPr>
              <w:t>Q4 2024</w:t>
            </w:r>
          </w:p>
        </w:tc>
        <w:tc>
          <w:tcPr>
            <w:tcW w:type="dxa" w:w="1728"/>
          </w:tcPr>
          <w:p>
            <w:r>
              <w:rPr>
                <w:rFonts w:ascii="Calibri" w:hAnsi="Calibri"/>
                <w:sz w:val="22"/>
              </w:rPr>
              <w:t>$1.434</w:t>
            </w:r>
          </w:p>
        </w:tc>
        <w:tc>
          <w:tcPr>
            <w:tcW w:type="dxa" w:w="1728"/>
          </w:tcPr>
          <w:p>
            <w:r>
              <w:rPr>
                <w:rFonts w:ascii="Calibri" w:hAnsi="Calibri"/>
                <w:sz w:val="22"/>
              </w:rPr>
              <w:t>$1.353</w:t>
            </w:r>
          </w:p>
        </w:tc>
        <w:tc>
          <w:tcPr>
            <w:tcW w:type="dxa" w:w="1728"/>
          </w:tcPr>
          <w:p>
            <w:r>
              <w:rPr>
                <w:rFonts w:ascii="Calibri" w:hAnsi="Calibri"/>
                <w:b/>
                <w:color w:val="30A46C"/>
                <w:sz w:val="22"/>
              </w:rPr>
              <w:t>+5.9%</w:t>
            </w:r>
          </w:p>
        </w:tc>
        <w:tc>
          <w:tcPr>
            <w:tcW w:type="dxa" w:w="1728"/>
          </w:tcPr>
          <w:p>
            <w:r>
              <w:rPr>
                <w:rFonts w:ascii="Calibri" w:hAnsi="Calibri"/>
                <w:sz w:val="22"/>
              </w:rPr>
              <w:t>Beat</w:t>
            </w:r>
          </w:p>
        </w:tc>
      </w:tr>
      <w:tr>
        <w:tc>
          <w:tcPr>
            <w:tcW w:type="dxa" w:w="1728"/>
          </w:tcPr>
          <w:p>
            <w:r>
              <w:rPr>
                <w:rFonts w:ascii="Calibri" w:hAnsi="Calibri"/>
                <w:sz w:val="22"/>
              </w:rPr>
              <w:t>Q3 2024</w:t>
            </w:r>
          </w:p>
        </w:tc>
        <w:tc>
          <w:tcPr>
            <w:tcW w:type="dxa" w:w="1728"/>
          </w:tcPr>
          <w:p>
            <w:r>
              <w:rPr>
                <w:rFonts w:ascii="Calibri" w:hAnsi="Calibri"/>
                <w:sz w:val="22"/>
              </w:rPr>
              <w:t>$1.438</w:t>
            </w:r>
          </w:p>
        </w:tc>
        <w:tc>
          <w:tcPr>
            <w:tcW w:type="dxa" w:w="1728"/>
          </w:tcPr>
          <w:p>
            <w:r>
              <w:rPr>
                <w:rFonts w:ascii="Calibri" w:hAnsi="Calibri"/>
                <w:sz w:val="22"/>
              </w:rPr>
              <w:t>$1.272</w:t>
            </w:r>
          </w:p>
        </w:tc>
        <w:tc>
          <w:tcPr>
            <w:tcW w:type="dxa" w:w="1728"/>
          </w:tcPr>
          <w:p>
            <w:r>
              <w:rPr>
                <w:rFonts w:ascii="Calibri" w:hAnsi="Calibri"/>
                <w:b/>
                <w:color w:val="30A46C"/>
                <w:sz w:val="22"/>
              </w:rPr>
              <w:t>+13.0%</w:t>
            </w:r>
          </w:p>
        </w:tc>
        <w:tc>
          <w:tcPr>
            <w:tcW w:type="dxa" w:w="1728"/>
          </w:tcPr>
          <w:p>
            <w:r>
              <w:rPr>
                <w:rFonts w:ascii="Calibri" w:hAnsi="Calibri"/>
                <w:sz w:val="22"/>
              </w:rPr>
              <w:t>Beat</w:t>
            </w:r>
          </w:p>
        </w:tc>
      </w:tr>
      <w:tr>
        <w:tc>
          <w:tcPr>
            <w:tcW w:type="dxa" w:w="1728"/>
          </w:tcPr>
          <w:p>
            <w:r>
              <w:rPr>
                <w:rFonts w:ascii="Calibri" w:hAnsi="Calibri"/>
                <w:sz w:val="22"/>
              </w:rPr>
              <w:t>Q2 2024</w:t>
            </w:r>
          </w:p>
        </w:tc>
        <w:tc>
          <w:tcPr>
            <w:tcW w:type="dxa" w:w="1728"/>
          </w:tcPr>
          <w:p>
            <w:r>
              <w:rPr>
                <w:rFonts w:ascii="Calibri" w:hAnsi="Calibri"/>
                <w:sz w:val="22"/>
              </w:rPr>
              <w:t>N/A — pre-VA coverage period</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pPr>
        <w:pStyle w:val="Heading4"/>
      </w:pPr>
      <w:r>
        <w:rPr>
          <w:rFonts w:ascii="Calibri" w:hAnsi="Calibri"/>
          <w:b/>
          <w:color w:val="3B4259"/>
          <w:sz w:val="22"/>
        </w:rPr>
        <w:t>Top KPI #2: Transaction Margin Dollars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($B)</w:t>
            </w:r>
          </w:p>
        </w:tc>
        <w:tc>
          <w:tcPr>
            <w:tcW w:type="dxa" w:w="1728"/>
            <w:shd w:val="clear" w:color="auto" w:fill="3B4259"/>
          </w:tcPr>
          <w:p>
            <w:r>
              <w:rPr>
                <w:rFonts w:ascii="Calibri" w:hAnsi="Calibri"/>
                <w:b/>
                <w:color w:val="FFFFFF"/>
                <w:sz w:val="22"/>
              </w:rPr>
              <w:t>Consensus ($B)</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$3.810B</w:t>
            </w:r>
          </w:p>
        </w:tc>
        <w:tc>
          <w:tcPr>
            <w:tcW w:type="dxa" w:w="1728"/>
          </w:tcPr>
          <w:p>
            <w:r>
              <w:rPr>
                <w:rFonts w:ascii="Calibri" w:hAnsi="Calibri"/>
                <w:sz w:val="22"/>
              </w:rPr>
              <w:t>$3.664B</w:t>
            </w:r>
          </w:p>
        </w:tc>
        <w:tc>
          <w:tcPr>
            <w:tcW w:type="dxa" w:w="1728"/>
          </w:tcPr>
          <w:p>
            <w:r>
              <w:rPr>
                <w:rFonts w:ascii="Calibri" w:hAnsi="Calibri"/>
                <w:b/>
                <w:color w:val="30A46C"/>
                <w:sz w:val="22"/>
              </w:rPr>
              <w:t>+4.0%</w:t>
            </w:r>
          </w:p>
        </w:tc>
        <w:tc>
          <w:tcPr>
            <w:tcW w:type="dxa" w:w="1728"/>
          </w:tcPr>
          <w:p>
            <w:r>
              <w:rPr>
                <w:rFonts w:ascii="Calibri" w:hAnsi="Calibri"/>
                <w:sz w:val="22"/>
              </w:rPr>
              <w:t>Beat</w:t>
            </w:r>
          </w:p>
        </w:tc>
      </w:tr>
      <w:tr>
        <w:tc>
          <w:tcPr>
            <w:tcW w:type="dxa" w:w="1728"/>
          </w:tcPr>
          <w:p>
            <w:r>
              <w:rPr>
                <w:rFonts w:ascii="Calibri" w:hAnsi="Calibri"/>
                <w:sz w:val="22"/>
              </w:rPr>
              <w:t>Q4 2025</w:t>
            </w:r>
          </w:p>
        </w:tc>
        <w:tc>
          <w:tcPr>
            <w:tcW w:type="dxa" w:w="1728"/>
          </w:tcPr>
          <w:p>
            <w:r>
              <w:rPr>
                <w:rFonts w:ascii="Calibri" w:hAnsi="Calibri"/>
                <w:sz w:val="22"/>
              </w:rPr>
              <w:t>$4.034B</w:t>
            </w:r>
          </w:p>
        </w:tc>
        <w:tc>
          <w:tcPr>
            <w:tcW w:type="dxa" w:w="1728"/>
          </w:tcPr>
          <w:p>
            <w:r>
              <w:rPr>
                <w:rFonts w:ascii="Calibri" w:hAnsi="Calibri"/>
                <w:sz w:val="22"/>
              </w:rPr>
              <w:t>$4.068B</w:t>
            </w:r>
          </w:p>
        </w:tc>
        <w:tc>
          <w:tcPr>
            <w:tcW w:type="dxa" w:w="1728"/>
          </w:tcPr>
          <w:p>
            <w:r>
              <w:rPr>
                <w:rFonts w:ascii="Calibri" w:hAnsi="Calibri"/>
                <w:b/>
                <w:color w:val="E5484D"/>
                <w:sz w:val="22"/>
              </w:rPr>
              <w:t>-0.8%</w:t>
            </w:r>
          </w:p>
        </w:tc>
        <w:tc>
          <w:tcPr>
            <w:tcW w:type="dxa" w:w="1728"/>
          </w:tcPr>
          <w:p>
            <w:r>
              <w:rPr>
                <w:rFonts w:ascii="Calibri" w:hAnsi="Calibri"/>
                <w:sz w:val="22"/>
              </w:rPr>
              <w:t>Slight Miss</w:t>
            </w:r>
          </w:p>
        </w:tc>
      </w:tr>
      <w:tr>
        <w:tc>
          <w:tcPr>
            <w:tcW w:type="dxa" w:w="1728"/>
          </w:tcPr>
          <w:p>
            <w:r>
              <w:rPr>
                <w:rFonts w:ascii="Calibri" w:hAnsi="Calibri"/>
                <w:sz w:val="22"/>
              </w:rPr>
              <w:t>Q3 2025</w:t>
            </w:r>
          </w:p>
        </w:tc>
        <w:tc>
          <w:tcPr>
            <w:tcW w:type="dxa" w:w="1728"/>
          </w:tcPr>
          <w:p>
            <w:r>
              <w:rPr>
                <w:rFonts w:ascii="Calibri" w:hAnsi="Calibri"/>
                <w:sz w:val="22"/>
              </w:rPr>
              <w:t>$3.871B</w:t>
            </w:r>
          </w:p>
        </w:tc>
        <w:tc>
          <w:tcPr>
            <w:tcW w:type="dxa" w:w="1728"/>
          </w:tcPr>
          <w:p>
            <w:r>
              <w:rPr>
                <w:rFonts w:ascii="Calibri" w:hAnsi="Calibri"/>
                <w:sz w:val="22"/>
              </w:rPr>
              <w:t>$3.778B</w:t>
            </w:r>
          </w:p>
        </w:tc>
        <w:tc>
          <w:tcPr>
            <w:tcW w:type="dxa" w:w="1728"/>
          </w:tcPr>
          <w:p>
            <w:r>
              <w:rPr>
                <w:rFonts w:ascii="Calibri" w:hAnsi="Calibri"/>
                <w:b/>
                <w:color w:val="30A46C"/>
                <w:sz w:val="22"/>
              </w:rPr>
              <w:t>+2.5%</w:t>
            </w:r>
          </w:p>
        </w:tc>
        <w:tc>
          <w:tcPr>
            <w:tcW w:type="dxa" w:w="1728"/>
          </w:tcPr>
          <w:p>
            <w:r>
              <w:rPr>
                <w:rFonts w:ascii="Calibri" w:hAnsi="Calibri"/>
                <w:sz w:val="22"/>
              </w:rPr>
              <w:t>Beat</w:t>
            </w:r>
          </w:p>
        </w:tc>
      </w:tr>
      <w:tr>
        <w:tc>
          <w:tcPr>
            <w:tcW w:type="dxa" w:w="1728"/>
          </w:tcPr>
          <w:p>
            <w:r>
              <w:rPr>
                <w:rFonts w:ascii="Calibri" w:hAnsi="Calibri"/>
                <w:sz w:val="22"/>
              </w:rPr>
              <w:t>Q2 2025</w:t>
            </w:r>
          </w:p>
        </w:tc>
        <w:tc>
          <w:tcPr>
            <w:tcW w:type="dxa" w:w="1728"/>
          </w:tcPr>
          <w:p>
            <w:r>
              <w:rPr>
                <w:rFonts w:ascii="Calibri" w:hAnsi="Calibri"/>
                <w:sz w:val="22"/>
              </w:rPr>
              <w:t>$3.844B</w:t>
            </w:r>
          </w:p>
        </w:tc>
        <w:tc>
          <w:tcPr>
            <w:tcW w:type="dxa" w:w="1728"/>
          </w:tcPr>
          <w:p>
            <w:r>
              <w:rPr>
                <w:rFonts w:ascii="Calibri" w:hAnsi="Calibri"/>
                <w:sz w:val="22"/>
              </w:rPr>
              <w:t>$3.783B</w:t>
            </w:r>
          </w:p>
        </w:tc>
        <w:tc>
          <w:tcPr>
            <w:tcW w:type="dxa" w:w="1728"/>
          </w:tcPr>
          <w:p>
            <w:r>
              <w:rPr>
                <w:rFonts w:ascii="Calibri" w:hAnsi="Calibri"/>
                <w:b/>
                <w:color w:val="30A46C"/>
                <w:sz w:val="22"/>
              </w:rPr>
              <w:t>+1.6%</w:t>
            </w:r>
          </w:p>
        </w:tc>
        <w:tc>
          <w:tcPr>
            <w:tcW w:type="dxa" w:w="1728"/>
          </w:tcPr>
          <w:p>
            <w:r>
              <w:rPr>
                <w:rFonts w:ascii="Calibri" w:hAnsi="Calibri"/>
                <w:sz w:val="22"/>
              </w:rPr>
              <w:t>Beat</w:t>
            </w:r>
          </w:p>
        </w:tc>
      </w:tr>
      <w:tr>
        <w:tc>
          <w:tcPr>
            <w:tcW w:type="dxa" w:w="1728"/>
          </w:tcPr>
          <w:p>
            <w:r>
              <w:rPr>
                <w:rFonts w:ascii="Calibri" w:hAnsi="Calibri"/>
                <w:sz w:val="22"/>
              </w:rPr>
              <w:t>Q1 2025</w:t>
            </w:r>
          </w:p>
        </w:tc>
        <w:tc>
          <w:tcPr>
            <w:tcW w:type="dxa" w:w="1728"/>
          </w:tcPr>
          <w:p>
            <w:r>
              <w:rPr>
                <w:rFonts w:ascii="Calibri" w:hAnsi="Calibri"/>
                <w:sz w:val="22"/>
              </w:rPr>
              <w:t>$3.716B</w:t>
            </w:r>
          </w:p>
        </w:tc>
        <w:tc>
          <w:tcPr>
            <w:tcW w:type="dxa" w:w="1728"/>
          </w:tcPr>
          <w:p>
            <w:r>
              <w:rPr>
                <w:rFonts w:ascii="Calibri" w:hAnsi="Calibri"/>
                <w:sz w:val="22"/>
              </w:rPr>
              <w:t>$3.622B</w:t>
            </w:r>
          </w:p>
        </w:tc>
        <w:tc>
          <w:tcPr>
            <w:tcW w:type="dxa" w:w="1728"/>
          </w:tcPr>
          <w:p>
            <w:r>
              <w:rPr>
                <w:rFonts w:ascii="Calibri" w:hAnsi="Calibri"/>
                <w:b/>
                <w:color w:val="30A46C"/>
                <w:sz w:val="22"/>
              </w:rPr>
              <w:t>+2.6%</w:t>
            </w:r>
          </w:p>
        </w:tc>
        <w:tc>
          <w:tcPr>
            <w:tcW w:type="dxa" w:w="1728"/>
          </w:tcPr>
          <w:p>
            <w:r>
              <w:rPr>
                <w:rFonts w:ascii="Calibri" w:hAnsi="Calibri"/>
                <w:sz w:val="22"/>
              </w:rPr>
              <w:t>Beat</w:t>
            </w:r>
          </w:p>
        </w:tc>
      </w:tr>
      <w:tr>
        <w:tc>
          <w:tcPr>
            <w:tcW w:type="dxa" w:w="1728"/>
          </w:tcPr>
          <w:p>
            <w:r>
              <w:rPr>
                <w:rFonts w:ascii="Calibri" w:hAnsi="Calibri"/>
                <w:sz w:val="22"/>
              </w:rPr>
              <w:t>Q4 2024</w:t>
            </w:r>
          </w:p>
        </w:tc>
        <w:tc>
          <w:tcPr>
            <w:tcW w:type="dxa" w:w="1728"/>
          </w:tcPr>
          <w:p>
            <w:r>
              <w:rPr>
                <w:rFonts w:ascii="Calibri" w:hAnsi="Calibri"/>
                <w:sz w:val="22"/>
              </w:rPr>
              <w:t>$3.935B</w:t>
            </w:r>
          </w:p>
        </w:tc>
        <w:tc>
          <w:tcPr>
            <w:tcW w:type="dxa" w:w="1728"/>
          </w:tcPr>
          <w:p>
            <w:r>
              <w:rPr>
                <w:rFonts w:ascii="Calibri" w:hAnsi="Calibri"/>
                <w:sz w:val="22"/>
              </w:rPr>
              <w:t>$3.779B</w:t>
            </w:r>
          </w:p>
        </w:tc>
        <w:tc>
          <w:tcPr>
            <w:tcW w:type="dxa" w:w="1728"/>
          </w:tcPr>
          <w:p>
            <w:r>
              <w:rPr>
                <w:rFonts w:ascii="Calibri" w:hAnsi="Calibri"/>
                <w:b/>
                <w:color w:val="30A46C"/>
                <w:sz w:val="22"/>
              </w:rPr>
              <w:t>+4.1%</w:t>
            </w:r>
          </w:p>
        </w:tc>
        <w:tc>
          <w:tcPr>
            <w:tcW w:type="dxa" w:w="1728"/>
          </w:tcPr>
          <w:p>
            <w:r>
              <w:rPr>
                <w:rFonts w:ascii="Calibri" w:hAnsi="Calibri"/>
                <w:sz w:val="22"/>
              </w:rPr>
              <w:t>Beat</w:t>
            </w:r>
          </w:p>
        </w:tc>
      </w:tr>
      <w:tr>
        <w:tc>
          <w:tcPr>
            <w:tcW w:type="dxa" w:w="1728"/>
          </w:tcPr>
          <w:p>
            <w:r>
              <w:rPr>
                <w:rFonts w:ascii="Calibri" w:hAnsi="Calibri"/>
                <w:sz w:val="22"/>
              </w:rPr>
              <w:t>Q3 2024</w:t>
            </w:r>
          </w:p>
        </w:tc>
        <w:tc>
          <w:tcPr>
            <w:tcW w:type="dxa" w:w="1728"/>
          </w:tcPr>
          <w:p>
            <w:r>
              <w:rPr>
                <w:rFonts w:ascii="Calibri" w:hAnsi="Calibri"/>
                <w:sz w:val="22"/>
              </w:rPr>
              <w:t>$3.654B</w:t>
            </w:r>
          </w:p>
        </w:tc>
        <w:tc>
          <w:tcPr>
            <w:tcW w:type="dxa" w:w="1728"/>
          </w:tcPr>
          <w:p>
            <w:r>
              <w:rPr>
                <w:rFonts w:ascii="Calibri" w:hAnsi="Calibri"/>
                <w:sz w:val="22"/>
              </w:rPr>
              <w:t>$3.627B</w:t>
            </w:r>
          </w:p>
        </w:tc>
        <w:tc>
          <w:tcPr>
            <w:tcW w:type="dxa" w:w="1728"/>
          </w:tcPr>
          <w:p>
            <w:r>
              <w:rPr>
                <w:rFonts w:ascii="Calibri" w:hAnsi="Calibri"/>
                <w:b/>
                <w:color w:val="30A46C"/>
                <w:sz w:val="22"/>
              </w:rPr>
              <w:t>+0.7%</w:t>
            </w:r>
          </w:p>
        </w:tc>
        <w:tc>
          <w:tcPr>
            <w:tcW w:type="dxa" w:w="1728"/>
          </w:tcPr>
          <w:p>
            <w:r>
              <w:rPr>
                <w:rFonts w:ascii="Calibri" w:hAnsi="Calibri"/>
                <w:sz w:val="22"/>
              </w:rPr>
              <w:t>Beat</w:t>
            </w:r>
          </w:p>
        </w:tc>
      </w:tr>
      <w:tr>
        <w:tc>
          <w:tcPr>
            <w:tcW w:type="dxa" w:w="1728"/>
          </w:tcPr>
          <w:p>
            <w:r>
              <w:rPr>
                <w:rFonts w:ascii="Calibri" w:hAnsi="Calibri"/>
                <w:sz w:val="22"/>
              </w:rPr>
              <w:t>Q2 2024</w:t>
            </w:r>
          </w:p>
        </w:tc>
        <w:tc>
          <w:tcPr>
            <w:tcW w:type="dxa" w:w="1728"/>
          </w:tcPr>
          <w:p>
            <w:r>
              <w:rPr>
                <w:rFonts w:ascii="Calibri" w:hAnsi="Calibri"/>
                <w:sz w:val="22"/>
              </w:rPr>
              <w:t>N/A — pre-VA coverage period</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r>
        <w:rPr>
          <w:rFonts w:ascii="Calibri" w:hAnsi="Calibri"/>
          <w:b/>
          <w:color w:val="525866"/>
          <w:sz w:val="22"/>
        </w:rPr>
        <w:t xml:space="preserve">Pattern: </w:t>
      </w:r>
      <w:r>
        <w:rPr>
          <w:rFonts w:ascii="Calibri" w:hAnsi="Calibri"/>
          <w:color w:val="525866"/>
          <w:sz w:val="22"/>
        </w:rPr>
        <w:t>PYPL has beaten non-GAAP EPS consensus in 6 of the last 7 reported quarters, with the sole miss in Q4 2025 driven by a guidance reset and elevated investment spend; transaction margin dollars have beaten in 6 of 7 quarters, suggesting management tends to guide conservatively on this metric.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has been unchanged since the Q1 2026 earnings call — management reiterated full-year targets at the Bernstein conference (May 27) with no revisions. The tone is cautious but stable: Q2 was explicitly pre-framed as the toughest quarter, and management expressed confidence that full-year guidance remains intact despite Q2 branded checkout trends running at the low end.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May 5,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Revenue Growth (CN)</w:t>
            </w:r>
          </w:p>
        </w:tc>
        <w:tc>
          <w:tcPr>
            <w:tcW w:type="dxa" w:w="1728"/>
          </w:tcPr>
          <w:p>
            <w:r>
              <w:rPr>
                <w:rFonts w:ascii="Calibri" w:hAnsi="Calibri"/>
                <w:sz w:val="22"/>
              </w:rPr>
              <w:t>Low single-digit growth (currency-neutral)</w:t>
            </w:r>
          </w:p>
        </w:tc>
        <w:tc>
          <w:tcPr>
            <w:tcW w:type="dxa" w:w="1728"/>
          </w:tcPr>
          <w:p>
            <w:r>
              <w:rPr>
                <w:rFonts w:ascii="Calibri" w:hAnsi="Calibri"/>
                <w:sz w:val="22"/>
              </w:rPr>
              <w:t>—</w:t>
            </w:r>
          </w:p>
        </w:tc>
        <w:tc>
          <w:tcPr>
            <w:tcW w:type="dxa" w:w="1728"/>
          </w:tcPr>
          <w:p>
            <w:r>
              <w:rPr>
                <w:rFonts w:ascii="Calibri" w:hAnsi="Calibri"/>
                <w:sz w:val="22"/>
              </w:rPr>
              <w:t>$8.469B (+2.2% YoY)</w:t>
            </w:r>
          </w:p>
        </w:tc>
        <w:tc>
          <w:tcPr>
            <w:tcW w:type="dxa" w:w="1728"/>
          </w:tcPr>
          <w:p>
            <w:r>
              <w:rPr>
                <w:rFonts w:ascii="Calibri" w:hAnsi="Calibri"/>
                <w:sz w:val="22"/>
              </w:rPr>
              <w:t>Unchanged; reiterated at Bernstein (May 27)</w:t>
            </w:r>
          </w:p>
        </w:tc>
      </w:tr>
      <w:tr>
        <w:tc>
          <w:tcPr>
            <w:tcW w:type="dxa" w:w="1728"/>
          </w:tcPr>
          <w:p>
            <w:r>
              <w:rPr>
                <w:rFonts w:ascii="Calibri" w:hAnsi="Calibri"/>
                <w:sz w:val="22"/>
              </w:rPr>
              <w:t>Q2 2026 Non-GAAP EPS</w:t>
            </w:r>
          </w:p>
        </w:tc>
        <w:tc>
          <w:tcPr>
            <w:tcW w:type="dxa" w:w="1728"/>
          </w:tcPr>
          <w:p>
            <w:r>
              <w:rPr>
                <w:rFonts w:ascii="Calibri" w:hAnsi="Calibri"/>
                <w:sz w:val="22"/>
              </w:rPr>
              <w:t>Decline ~9% YoY (high single digits)</w:t>
            </w:r>
          </w:p>
        </w:tc>
        <w:tc>
          <w:tcPr>
            <w:tcW w:type="dxa" w:w="1728"/>
          </w:tcPr>
          <w:p>
            <w:r>
              <w:rPr>
                <w:rFonts w:ascii="Calibri" w:hAnsi="Calibri"/>
                <w:sz w:val="22"/>
              </w:rPr>
              <w:t>—</w:t>
            </w:r>
          </w:p>
        </w:tc>
        <w:tc>
          <w:tcPr>
            <w:tcW w:type="dxa" w:w="1728"/>
          </w:tcPr>
          <w:p>
            <w:r>
              <w:rPr>
                <w:rFonts w:ascii="Calibri" w:hAnsi="Calibri"/>
                <w:sz w:val="22"/>
              </w:rPr>
              <w:t>$1.417 (~-10.4% YoY)</w:t>
            </w:r>
          </w:p>
        </w:tc>
        <w:tc>
          <w:tcPr>
            <w:tcW w:type="dxa" w:w="1728"/>
          </w:tcPr>
          <w:p>
            <w:r>
              <w:rPr>
                <w:rFonts w:ascii="Calibri" w:hAnsi="Calibri"/>
                <w:sz w:val="22"/>
              </w:rPr>
              <w:t>Unchanged; consensus slightly below guidance midpoint</w:t>
            </w:r>
          </w:p>
        </w:tc>
      </w:tr>
      <w:tr>
        <w:tc>
          <w:tcPr>
            <w:tcW w:type="dxa" w:w="1728"/>
          </w:tcPr>
          <w:p>
            <w:r>
              <w:rPr>
                <w:rFonts w:ascii="Calibri" w:hAnsi="Calibri"/>
                <w:sz w:val="22"/>
              </w:rPr>
              <w:t>Q2 2026 Transaction Margin $ (ex-interest)</w:t>
            </w:r>
          </w:p>
        </w:tc>
        <w:tc>
          <w:tcPr>
            <w:tcW w:type="dxa" w:w="1728"/>
          </w:tcPr>
          <w:p>
            <w:r>
              <w:rPr>
                <w:rFonts w:ascii="Calibri" w:hAnsi="Calibri"/>
                <w:sz w:val="22"/>
              </w:rPr>
              <w:t>Decline ~2% YoY</w:t>
            </w:r>
          </w:p>
        </w:tc>
        <w:tc>
          <w:tcPr>
            <w:tcW w:type="dxa" w:w="1728"/>
          </w:tcPr>
          <w:p>
            <w:r>
              <w:rPr>
                <w:rFonts w:ascii="Calibri" w:hAnsi="Calibri"/>
                <w:sz w:val="22"/>
              </w:rPr>
              <w:t>—</w:t>
            </w:r>
          </w:p>
        </w:tc>
        <w:tc>
          <w:tcPr>
            <w:tcW w:type="dxa" w:w="1728"/>
          </w:tcPr>
          <w:p>
            <w:r>
              <w:rPr>
                <w:rFonts w:ascii="Calibri" w:hAnsi="Calibri"/>
                <w:sz w:val="22"/>
              </w:rPr>
              <w:t>$3.741B (-2.7% YoY)</w:t>
            </w:r>
          </w:p>
        </w:tc>
        <w:tc>
          <w:tcPr>
            <w:tcW w:type="dxa" w:w="1728"/>
          </w:tcPr>
          <w:p>
            <w:r>
              <w:rPr>
                <w:rFonts w:ascii="Calibri" w:hAnsi="Calibri"/>
                <w:sz w:val="22"/>
              </w:rPr>
              <w:t>Unchanged; consensus at low end of guidance</w:t>
            </w:r>
          </w:p>
        </w:tc>
      </w:tr>
      <w:tr>
        <w:tc>
          <w:tcPr>
            <w:tcW w:type="dxa" w:w="1728"/>
          </w:tcPr>
          <w:p>
            <w:r>
              <w:rPr>
                <w:rFonts w:ascii="Calibri" w:hAnsi="Calibri"/>
                <w:sz w:val="22"/>
              </w:rPr>
              <w:t>Q2 2026 Branded Checkout TPV Growth</w:t>
            </w:r>
          </w:p>
        </w:tc>
        <w:tc>
          <w:tcPr>
            <w:tcW w:type="dxa" w:w="1728"/>
          </w:tcPr>
          <w:p>
            <w:r>
              <w:rPr>
                <w:rFonts w:ascii="Calibri" w:hAnsi="Calibri"/>
                <w:sz w:val="22"/>
              </w:rPr>
              <w:t>At low end of FY guide (slightly positive to low single digits)</w:t>
            </w:r>
          </w:p>
        </w:tc>
        <w:tc>
          <w:tcPr>
            <w:tcW w:type="dxa" w:w="1728"/>
          </w:tcPr>
          <w:p>
            <w:r>
              <w:rPr>
                <w:rFonts w:ascii="Calibri" w:hAnsi="Calibri"/>
                <w:sz w:val="22"/>
              </w:rPr>
              <w:t>—</w:t>
            </w:r>
          </w:p>
        </w:tc>
        <w:tc>
          <w:tcPr>
            <w:tcW w:type="dxa" w:w="1728"/>
          </w:tcPr>
          <w:p>
            <w:r>
              <w:rPr>
                <w:rFonts w:ascii="Calibri" w:hAnsi="Calibri"/>
                <w:sz w:val="22"/>
              </w:rPr>
              <w:t>~+0.6% FX-neutral</w:t>
            </w:r>
          </w:p>
        </w:tc>
        <w:tc>
          <w:tcPr>
            <w:tcW w:type="dxa" w:w="1728"/>
          </w:tcPr>
          <w:p>
            <w:r>
              <w:rPr>
                <w:rFonts w:ascii="Calibri" w:hAnsi="Calibri"/>
                <w:sz w:val="22"/>
              </w:rPr>
              <w:t>Bernstein (May 27): Q2 QTD at low end; May stronger than April but in line with expectations; travel/Europe headwinds persist</w:t>
            </w:r>
          </w:p>
        </w:tc>
      </w:tr>
      <w:tr>
        <w:tc>
          <w:tcPr>
            <w:tcW w:type="dxa" w:w="1728"/>
          </w:tcPr>
          <w:p>
            <w:r>
              <w:rPr>
                <w:rFonts w:ascii="Calibri" w:hAnsi="Calibri"/>
                <w:sz w:val="22"/>
              </w:rPr>
              <w:t>FY 2026 Non-GAAP EPS</w:t>
            </w:r>
          </w:p>
        </w:tc>
        <w:tc>
          <w:tcPr>
            <w:tcW w:type="dxa" w:w="1728"/>
          </w:tcPr>
          <w:p>
            <w:r>
              <w:rPr>
                <w:rFonts w:ascii="Calibri" w:hAnsi="Calibri"/>
                <w:sz w:val="22"/>
              </w:rPr>
              <w:t>Down low single digits to slightly positive</w:t>
            </w:r>
          </w:p>
        </w:tc>
        <w:tc>
          <w:tcPr>
            <w:tcW w:type="dxa" w:w="1728"/>
          </w:tcPr>
          <w:p>
            <w:r>
              <w:rPr>
                <w:rFonts w:ascii="Calibri" w:hAnsi="Calibri"/>
                <w:sz w:val="22"/>
              </w:rPr>
              <w:t>—</w:t>
            </w:r>
          </w:p>
        </w:tc>
        <w:tc>
          <w:tcPr>
            <w:tcW w:type="dxa" w:w="1728"/>
          </w:tcPr>
          <w:p>
            <w:r>
              <w:rPr>
                <w:rFonts w:ascii="Calibri" w:hAnsi="Calibri"/>
                <w:sz w:val="22"/>
              </w:rPr>
              <w:t>$5.792</w:t>
            </w:r>
          </w:p>
        </w:tc>
        <w:tc>
          <w:tcPr>
            <w:tcW w:type="dxa" w:w="1728"/>
          </w:tcPr>
          <w:p>
            <w:r>
              <w:rPr>
                <w:rFonts w:ascii="Calibri" w:hAnsi="Calibri"/>
                <w:sz w:val="22"/>
              </w:rPr>
              <w:t>Unchanged; reiterated at Bernstein (May 27)</w:t>
            </w:r>
          </w:p>
        </w:tc>
      </w:tr>
      <w:tr>
        <w:tc>
          <w:tcPr>
            <w:tcW w:type="dxa" w:w="1728"/>
          </w:tcPr>
          <w:p>
            <w:r>
              <w:rPr>
                <w:rFonts w:ascii="Calibri" w:hAnsi="Calibri"/>
                <w:sz w:val="22"/>
              </w:rPr>
              <w:t>FY 2026 Transaction Margin $ (ex-interest)</w:t>
            </w:r>
          </w:p>
        </w:tc>
        <w:tc>
          <w:tcPr>
            <w:tcW w:type="dxa" w:w="1728"/>
          </w:tcPr>
          <w:p>
            <w:r>
              <w:rPr>
                <w:rFonts w:ascii="Calibri" w:hAnsi="Calibri"/>
                <w:sz w:val="22"/>
              </w:rPr>
              <w:t>Decline slightly or roughly flat</w:t>
            </w:r>
          </w:p>
        </w:tc>
        <w:tc>
          <w:tcPr>
            <w:tcW w:type="dxa" w:w="1728"/>
          </w:tcPr>
          <w:p>
            <w:r>
              <w:rPr>
                <w:rFonts w:ascii="Calibri" w:hAnsi="Calibri"/>
                <w:sz w:val="22"/>
              </w:rPr>
              <w:t>—</w:t>
            </w:r>
          </w:p>
        </w:tc>
        <w:tc>
          <w:tcPr>
            <w:tcW w:type="dxa" w:w="1728"/>
          </w:tcPr>
          <w:p>
            <w:r>
              <w:rPr>
                <w:rFonts w:ascii="Calibri" w:hAnsi="Calibri"/>
                <w:sz w:val="22"/>
              </w:rPr>
              <w:t>$15.331B</w:t>
            </w:r>
          </w:p>
        </w:tc>
        <w:tc>
          <w:tcPr>
            <w:tcW w:type="dxa" w:w="1728"/>
          </w:tcPr>
          <w:p>
            <w:r>
              <w:rPr>
                <w:rFonts w:ascii="Calibri" w:hAnsi="Calibri"/>
                <w:sz w:val="22"/>
              </w:rPr>
              <w:t>Unchanged; consensus implies slight decline consistent with guidance</w:t>
            </w:r>
          </w:p>
        </w:tc>
      </w:tr>
      <w:tr>
        <w:tc>
          <w:tcPr>
            <w:tcW w:type="dxa" w:w="1728"/>
          </w:tcPr>
          <w:p>
            <w:r>
              <w:rPr>
                <w:rFonts w:ascii="Calibri" w:hAnsi="Calibri"/>
                <w:sz w:val="22"/>
              </w:rPr>
              <w:t>FY 2026 Free Cash Flow</w:t>
            </w:r>
          </w:p>
        </w:tc>
        <w:tc>
          <w:tcPr>
            <w:tcW w:type="dxa" w:w="1728"/>
          </w:tcPr>
          <w:p>
            <w:r>
              <w:rPr>
                <w:rFonts w:ascii="Calibri" w:hAnsi="Calibri"/>
                <w:sz w:val="22"/>
              </w:rPr>
              <w:t>At least $6.0B</w:t>
            </w:r>
          </w:p>
        </w:tc>
        <w:tc>
          <w:tcPr>
            <w:tcW w:type="dxa" w:w="1728"/>
          </w:tcPr>
          <w:p>
            <w:r>
              <w:rPr>
                <w:rFonts w:ascii="Calibri" w:hAnsi="Calibri"/>
                <w:sz w:val="22"/>
              </w:rPr>
              <w:t>—</w:t>
            </w:r>
          </w:p>
        </w:tc>
        <w:tc>
          <w:tcPr>
            <w:tcW w:type="dxa" w:w="1728"/>
          </w:tcPr>
          <w:p>
            <w:r>
              <w:rPr>
                <w:rFonts w:ascii="Calibri" w:hAnsi="Calibri"/>
                <w:sz w:val="22"/>
              </w:rPr>
              <w:t>~$6.0B+</w:t>
            </w:r>
          </w:p>
        </w:tc>
        <w:tc>
          <w:tcPr>
            <w:tcW w:type="dxa" w:w="1728"/>
          </w:tcPr>
          <w:p>
            <w:r>
              <w:rPr>
                <w:rFonts w:ascii="Calibri" w:hAnsi="Calibri"/>
                <w:sz w:val="22"/>
              </w:rPr>
              <w:t>Unchanged; remains a bright spot</w:t>
            </w:r>
          </w:p>
        </w:tc>
      </w:tr>
      <w:tr>
        <w:tc>
          <w:tcPr>
            <w:tcW w:type="dxa" w:w="1728"/>
          </w:tcPr>
          <w:p>
            <w:r>
              <w:rPr>
                <w:rFonts w:ascii="Calibri" w:hAnsi="Calibri"/>
                <w:sz w:val="22"/>
              </w:rPr>
              <w:t>FY 2026 Share Repurchase</w:t>
            </w:r>
          </w:p>
        </w:tc>
        <w:tc>
          <w:tcPr>
            <w:tcW w:type="dxa" w:w="1728"/>
          </w:tcPr>
          <w:p>
            <w:r>
              <w:rPr>
                <w:rFonts w:ascii="Calibri" w:hAnsi="Calibri"/>
                <w:sz w:val="22"/>
              </w:rPr>
              <w:t>~$6.0B</w:t>
            </w:r>
          </w:p>
        </w:tc>
        <w:tc>
          <w:tcPr>
            <w:tcW w:type="dxa" w:w="1728"/>
          </w:tcPr>
          <w:p>
            <w:r>
              <w:rPr>
                <w:rFonts w:ascii="Calibri" w:hAnsi="Calibri"/>
                <w:sz w:val="22"/>
              </w:rPr>
              <w:t>—</w:t>
            </w:r>
          </w:p>
        </w:tc>
        <w:tc>
          <w:tcPr>
            <w:tcW w:type="dxa" w:w="1728"/>
          </w:tcPr>
          <w:p>
            <w:r>
              <w:rPr>
                <w:rFonts w:ascii="Calibri" w:hAnsi="Calibri"/>
                <w:sz w:val="22"/>
              </w:rPr>
              <w:t>~$6.0B</w:t>
            </w:r>
          </w:p>
        </w:tc>
        <w:tc>
          <w:tcPr>
            <w:tcW w:type="dxa" w:w="1728"/>
          </w:tcPr>
          <w:p>
            <w:r>
              <w:rPr>
                <w:rFonts w:ascii="Calibri" w:hAnsi="Calibri"/>
                <w:sz w:val="22"/>
              </w:rPr>
              <w:t>Unchanged</w:t>
            </w:r>
          </w:p>
        </w:tc>
      </w:tr>
    </w:tbl>
    <w:p>
      <w:r>
        <w:rPr>
          <w:rFonts w:ascii="Calibri" w:hAnsi="Calibri"/>
          <w:b/>
          <w:color w:val="525866"/>
          <w:sz w:val="22"/>
        </w:rPr>
        <w:t xml:space="preserve">Sources: </w:t>
      </w:r>
      <w:r>
        <w:rPr>
          <w:rFonts w:ascii="Calibri" w:hAnsi="Calibri"/>
          <w:color w:val="525866"/>
          <w:sz w:val="22"/>
        </w:rPr>
        <w:t>Q1 2026 Earnings Call transcript (May 5, 2026); Bernstein Strategic Decisions Conference transcript (May 27, 2026); Visible Alpha Consensus and Actuals Data.</w:t>
      </w:r>
    </w:p>
    <w:p>
      <w:r>
        <w:rPr>
          <w:rFonts w:ascii="Calibri" w:hAnsi="Calibri"/>
          <w:b/>
          <w:color w:val="525866"/>
          <w:sz w:val="22"/>
        </w:rPr>
        <w:t xml:space="preserve">Tone note: </w:t>
      </w:r>
      <w:r>
        <w:rPr>
          <w:rFonts w:ascii="Calibri" w:hAnsi="Calibri"/>
          <w:color w:val="525866"/>
          <w:sz w:val="22"/>
        </w:rPr>
        <w:t>CEO Enrique Lores (first full earnings cycle) has been consistent in framing Q2 as the trough quarter for year-over-year comparisons, while emphasizing that the full-year guide is intact. At Bernstein, he explicitly noted that May was stronger than April but in line with expectations, and that the travel vertical slowdown (especially in Europe) and muted European growth are the primary incremental headwinds. No guidance changes have been issued via 8-K or any other post-earnings event.</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been remarkably stable since the Q1 print — Q2 EPS consensus has moved only +$0.003 and revenue barely changed, suggesting the Street has fully digested management's guidance and is not pricing in incremental risk or upside. The gap between consensus and guidance is narrow, leaving little cushion if execution disappoints.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12, 2026)</w:t>
            </w:r>
          </w:p>
        </w:tc>
        <w:tc>
          <w:tcPr>
            <w:tcW w:type="dxa" w:w="1080"/>
            <w:shd w:val="clear" w:color="auto" w:fill="3B4259"/>
          </w:tcPr>
          <w:p>
            <w:r>
              <w:rPr>
                <w:rFonts w:ascii="Calibri" w:hAnsi="Calibri"/>
                <w:b/>
                <w:color w:val="FFFFFF"/>
                <w:sz w:val="22"/>
              </w:rPr>
              <w:t>Current Consensus (July 27,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Earnings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Non-GAAP EPS — Q2 2026</w:t>
            </w:r>
          </w:p>
        </w:tc>
        <w:tc>
          <w:tcPr>
            <w:tcW w:type="dxa" w:w="1080"/>
          </w:tcPr>
          <w:p>
            <w:r>
              <w:rPr>
                <w:rFonts w:ascii="Calibri" w:hAnsi="Calibri"/>
                <w:sz w:val="22"/>
              </w:rPr>
              <w:t>$1.413</w:t>
            </w:r>
          </w:p>
        </w:tc>
        <w:tc>
          <w:tcPr>
            <w:tcW w:type="dxa" w:w="1080"/>
          </w:tcPr>
          <w:p>
            <w:r>
              <w:rPr>
                <w:rFonts w:ascii="Calibri" w:hAnsi="Calibri"/>
                <w:sz w:val="22"/>
              </w:rPr>
              <w:t>$1.417</w:t>
            </w:r>
          </w:p>
        </w:tc>
        <w:tc>
          <w:tcPr>
            <w:tcW w:type="dxa" w:w="1080"/>
          </w:tcPr>
          <w:p>
            <w:r>
              <w:rPr>
                <w:rFonts w:ascii="Calibri" w:hAnsi="Calibri"/>
                <w:sz w:val="22"/>
              </w:rPr>
              <w:t>+0.2%</w:t>
            </w:r>
          </w:p>
        </w:tc>
        <w:tc>
          <w:tcPr>
            <w:tcW w:type="dxa" w:w="1080"/>
          </w:tcPr>
          <w:p>
            <w:r>
              <w:rPr>
                <w:rFonts w:ascii="Calibri" w:hAnsi="Calibri"/>
                <w:sz w:val="22"/>
              </w:rPr>
              <w:t>~$1.44 (implied ~-9% from $1.582)</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~-2% below guidance midpoint</w:t>
            </w:r>
          </w:p>
        </w:tc>
      </w:tr>
      <w:tr>
        <w:tc>
          <w:tcPr>
            <w:tcW w:type="dxa" w:w="1080"/>
          </w:tcPr>
          <w:p>
            <w:r>
              <w:rPr>
                <w:rFonts w:ascii="Calibri" w:hAnsi="Calibri"/>
                <w:sz w:val="22"/>
              </w:rPr>
              <w:t>Non-GAAP EPS — FY 2026</w:t>
            </w:r>
          </w:p>
        </w:tc>
        <w:tc>
          <w:tcPr>
            <w:tcW w:type="dxa" w:w="1080"/>
          </w:tcPr>
          <w:p>
            <w:r>
              <w:rPr>
                <w:rFonts w:ascii="Calibri" w:hAnsi="Calibri"/>
                <w:sz w:val="22"/>
              </w:rPr>
              <w:t>$5.778</w:t>
            </w:r>
          </w:p>
        </w:tc>
        <w:tc>
          <w:tcPr>
            <w:tcW w:type="dxa" w:w="1080"/>
          </w:tcPr>
          <w:p>
            <w:r>
              <w:rPr>
                <w:rFonts w:ascii="Calibri" w:hAnsi="Calibri"/>
                <w:sz w:val="22"/>
              </w:rPr>
              <w:t>$5.792</w:t>
            </w:r>
          </w:p>
        </w:tc>
        <w:tc>
          <w:tcPr>
            <w:tcW w:type="dxa" w:w="1080"/>
          </w:tcPr>
          <w:p>
            <w:r>
              <w:rPr>
                <w:rFonts w:ascii="Calibri" w:hAnsi="Calibri"/>
                <w:sz w:val="22"/>
              </w:rPr>
              <w:t>+0.2%</w:t>
            </w:r>
          </w:p>
        </w:tc>
        <w:tc>
          <w:tcPr>
            <w:tcW w:type="dxa" w:w="1080"/>
          </w:tcPr>
          <w:p>
            <w:r>
              <w:rPr>
                <w:rFonts w:ascii="Calibri" w:hAnsi="Calibri"/>
                <w:sz w:val="22"/>
              </w:rPr>
              <w:t>Down low single digits to slightly positive (vs. FY25 $5.47 base)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Near top of guidance range</w:t>
            </w:r>
          </w:p>
        </w:tc>
      </w:tr>
      <w:tr>
        <w:tc>
          <w:tcPr>
            <w:tcW w:type="dxa" w:w="1080"/>
          </w:tcPr>
          <w:p>
            <w:r>
              <w:rPr>
                <w:rFonts w:ascii="Calibri" w:hAnsi="Calibri"/>
                <w:sz w:val="22"/>
              </w:rPr>
              <w:t>Net Revenue — Q2 2026</w:t>
            </w:r>
          </w:p>
        </w:tc>
        <w:tc>
          <w:tcPr>
            <w:tcW w:type="dxa" w:w="1080"/>
          </w:tcPr>
          <w:p>
            <w:r>
              <w:rPr>
                <w:rFonts w:ascii="Calibri" w:hAnsi="Calibri"/>
                <w:sz w:val="22"/>
              </w:rPr>
              <w:t>$8.468B</w:t>
            </w:r>
          </w:p>
        </w:tc>
        <w:tc>
          <w:tcPr>
            <w:tcW w:type="dxa" w:w="1080"/>
          </w:tcPr>
          <w:p>
            <w:r>
              <w:rPr>
                <w:rFonts w:ascii="Calibri" w:hAnsi="Calibri"/>
                <w:sz w:val="22"/>
              </w:rPr>
              <w:t>$8.469B</w:t>
            </w:r>
          </w:p>
        </w:tc>
        <w:tc>
          <w:tcPr>
            <w:tcW w:type="dxa" w:w="1080"/>
          </w:tcPr>
          <w:p>
            <w:r>
              <w:rPr>
                <w:rFonts w:ascii="Calibri" w:hAnsi="Calibri"/>
                <w:sz w:val="22"/>
              </w:rPr>
              <w:t>+0.0%</w:t>
            </w:r>
          </w:p>
        </w:tc>
        <w:tc>
          <w:tcPr>
            <w:tcW w:type="dxa" w:w="1080"/>
          </w:tcPr>
          <w:p>
            <w:r>
              <w:rPr>
                <w:rFonts w:ascii="Calibri" w:hAnsi="Calibri"/>
                <w:sz w:val="22"/>
              </w:rPr>
              <w:t>Low single-digit CN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w:t>
            </w:r>
          </w:p>
        </w:tc>
      </w:tr>
      <w:tr>
        <w:tc>
          <w:tcPr>
            <w:tcW w:type="dxa" w:w="1080"/>
          </w:tcPr>
          <w:p>
            <w:r>
              <w:rPr>
                <w:rFonts w:ascii="Calibri" w:hAnsi="Calibri"/>
                <w:sz w:val="22"/>
              </w:rPr>
              <w:t>Net Revenue — FY 2026</w:t>
            </w:r>
          </w:p>
        </w:tc>
        <w:tc>
          <w:tcPr>
            <w:tcW w:type="dxa" w:w="1080"/>
          </w:tcPr>
          <w:p>
            <w:r>
              <w:rPr>
                <w:rFonts w:ascii="Calibri" w:hAnsi="Calibri"/>
                <w:sz w:val="22"/>
              </w:rPr>
              <w:t>$34.338B</w:t>
            </w:r>
          </w:p>
        </w:tc>
        <w:tc>
          <w:tcPr>
            <w:tcW w:type="dxa" w:w="1080"/>
          </w:tcPr>
          <w:p>
            <w:r>
              <w:rPr>
                <w:rFonts w:ascii="Calibri" w:hAnsi="Calibri"/>
                <w:sz w:val="22"/>
              </w:rPr>
              <w:t>$34.337B</w:t>
            </w:r>
          </w:p>
        </w:tc>
        <w:tc>
          <w:tcPr>
            <w:tcW w:type="dxa" w:w="1080"/>
          </w:tcPr>
          <w:p>
            <w:r>
              <w:rPr>
                <w:rFonts w:ascii="Calibri" w:hAnsi="Calibri"/>
                <w:sz w:val="22"/>
              </w:rPr>
              <w:t>0.0%</w:t>
            </w:r>
          </w:p>
        </w:tc>
        <w:tc>
          <w:tcPr>
            <w:tcW w:type="dxa" w:w="1080"/>
          </w:tcPr>
          <w:p>
            <w:r>
              <w:rPr>
                <w:rFonts w:ascii="Calibri" w:hAnsi="Calibri"/>
                <w:sz w:val="22"/>
              </w:rPr>
              <w:t>Low single-digit CN growth</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w:t>
            </w:r>
          </w:p>
        </w:tc>
      </w:tr>
      <w:tr>
        <w:tc>
          <w:tcPr>
            <w:tcW w:type="dxa" w:w="1080"/>
          </w:tcPr>
          <w:p>
            <w:r>
              <w:rPr>
                <w:rFonts w:ascii="Calibri" w:hAnsi="Calibri"/>
                <w:sz w:val="22"/>
              </w:rPr>
              <w:t>Transaction Margin $ — Q2 2026</w:t>
            </w:r>
          </w:p>
        </w:tc>
        <w:tc>
          <w:tcPr>
            <w:tcW w:type="dxa" w:w="1080"/>
          </w:tcPr>
          <w:p>
            <w:r>
              <w:rPr>
                <w:rFonts w:ascii="Calibri" w:hAnsi="Calibri"/>
                <w:sz w:val="22"/>
              </w:rPr>
              <w:t>$3.735B</w:t>
            </w:r>
          </w:p>
        </w:tc>
        <w:tc>
          <w:tcPr>
            <w:tcW w:type="dxa" w:w="1080"/>
          </w:tcPr>
          <w:p>
            <w:r>
              <w:rPr>
                <w:rFonts w:ascii="Calibri" w:hAnsi="Calibri"/>
                <w:sz w:val="22"/>
              </w:rPr>
              <w:t>$3.741B</w:t>
            </w:r>
          </w:p>
        </w:tc>
        <w:tc>
          <w:tcPr>
            <w:tcW w:type="dxa" w:w="1080"/>
          </w:tcPr>
          <w:p>
            <w:r>
              <w:rPr>
                <w:rFonts w:ascii="Calibri" w:hAnsi="Calibri"/>
                <w:sz w:val="22"/>
              </w:rPr>
              <w:t>+0.2%</w:t>
            </w:r>
          </w:p>
        </w:tc>
        <w:tc>
          <w:tcPr>
            <w:tcW w:type="dxa" w:w="1080"/>
          </w:tcPr>
          <w:p>
            <w:r>
              <w:rPr>
                <w:rFonts w:ascii="Calibri" w:hAnsi="Calibri"/>
                <w:sz w:val="22"/>
              </w:rPr>
              <w:t>Decline ~2% YoY ex-interest</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 with guidance</w:t>
            </w:r>
          </w:p>
        </w:tc>
      </w:tr>
      <w:tr>
        <w:tc>
          <w:tcPr>
            <w:tcW w:type="dxa" w:w="1080"/>
          </w:tcPr>
          <w:p>
            <w:r>
              <w:rPr>
                <w:rFonts w:ascii="Calibri" w:hAnsi="Calibri"/>
                <w:sz w:val="22"/>
              </w:rPr>
              <w:t>Transaction Margin $ — FY 2026</w:t>
            </w:r>
          </w:p>
        </w:tc>
        <w:tc>
          <w:tcPr>
            <w:tcW w:type="dxa" w:w="1080"/>
          </w:tcPr>
          <w:p>
            <w:r>
              <w:rPr>
                <w:rFonts w:ascii="Calibri" w:hAnsi="Calibri"/>
                <w:sz w:val="22"/>
              </w:rPr>
              <w:t>$15.333B</w:t>
            </w:r>
          </w:p>
        </w:tc>
        <w:tc>
          <w:tcPr>
            <w:tcW w:type="dxa" w:w="1080"/>
          </w:tcPr>
          <w:p>
            <w:r>
              <w:rPr>
                <w:rFonts w:ascii="Calibri" w:hAnsi="Calibri"/>
                <w:sz w:val="22"/>
              </w:rPr>
              <w:t>$15.331B</w:t>
            </w:r>
          </w:p>
        </w:tc>
        <w:tc>
          <w:tcPr>
            <w:tcW w:type="dxa" w:w="1080"/>
          </w:tcPr>
          <w:p>
            <w:r>
              <w:rPr>
                <w:rFonts w:ascii="Calibri" w:hAnsi="Calibri"/>
                <w:sz w:val="22"/>
              </w:rPr>
              <w:t>0.0%</w:t>
            </w:r>
          </w:p>
        </w:tc>
        <w:tc>
          <w:tcPr>
            <w:tcW w:type="dxa" w:w="1080"/>
          </w:tcPr>
          <w:p>
            <w:r>
              <w:rPr>
                <w:rFonts w:ascii="Calibri" w:hAnsi="Calibri"/>
                <w:sz w:val="22"/>
              </w:rPr>
              <w:t>Decline slightly or roughly flat</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w:t>
            </w:r>
          </w:p>
        </w:tc>
      </w:tr>
    </w:tbl>
    <w:p>
      <w:r>
        <w:rPr>
          <w:rFonts w:ascii="Calibri" w:hAnsi="Calibri"/>
          <w:b/>
          <w:color w:val="525866"/>
          <w:sz w:val="22"/>
        </w:rPr>
        <w:t xml:space="preserve">Source: </w:t>
      </w:r>
      <w:r>
        <w:rPr>
          <w:rFonts w:ascii="Calibri" w:hAnsi="Calibri"/>
          <w:color w:val="525866"/>
          <w:sz w:val="22"/>
        </w:rPr>
        <w:t>Visible Alpha Consensus and Actuals Data (revision history weekly series, May 15 – July 27, 2026). The near-zero estimate drift across all KPIs over the 11-week post-Q1 window is notable — it reflects a Street that has anchored tightly to management's guidance and is not independently modeling upside or downside scenarios. This creates a binary setup: a clean beat on transaction margin dollars would likely drive positive re-rating, while any miss on branded checkout TPV growth would renew structural concerns.</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The stock's +20% surge since last earnings is almost entirely multiple expansion driven by M&amp;A speculation, not fundamental revision — EPS estimates are flat over the period. The stock is now trading at ~10x NTM P/E vs. ~7.7x at the Q1 print, a 31% multiple re-rating in one month, creating a high bar for the fundamental print to sustain current levels.</w:t>
      </w:r>
    </w:p>
    <w:p>
      <w:r>
        <w:rPr>
          <w:rFonts w:ascii="Calibri" w:hAnsi="Calibri"/>
          <w:color w:val="525866"/>
          <w:sz w:val="22"/>
        </w:rPr>
        <w:t xml:space="preserve">PYPL closed at $46.49 on May 5, 2026 (Q1 earnings day) and traded at $56.07 on July 28, 2026 (earnings eve), a gain of approximately </w:t>
      </w:r>
      <w:r>
        <w:rPr>
          <w:rFonts w:ascii="Calibri" w:hAnsi="Calibri"/>
          <w:b/>
          <w:color w:val="525866"/>
          <w:sz w:val="22"/>
        </w:rPr>
        <w:t>+20.6%</w:t>
      </w:r>
      <w:r>
        <w:rPr>
          <w:rFonts w:ascii="Calibri" w:hAnsi="Calibri"/>
          <w:color w:val="525866"/>
          <w:sz w:val="22"/>
        </w:rPr>
        <w:t xml:space="preserve"> since the last print. Over the same period, IPAY (ETF Managers Group Digital Payments ETF) gained approximately +5.4% and the S&amp;P 500 (SPY) gained approximately +2.1%, meaning PYPL outperformed its sector ETF by ~15 points and the broad market by ~18 points. The outperformance is almost entirely attributable to the July 15 Stripe/Advent takeover bid report, which drove a single-day +17% surge. Excluding that event, PYPL was actually underperforming IPAY through early July, trading down to ~$41 in mid-June before recovering modestly. The stock's NTM EV/EBITDA multiple expanded from ~5.6x (1 month ago) to ~7.4x currently, a +32% re-rating that mirrors the price move and confirms the driver is sentiment/M&amp;A optionality, not earnings revision. Source: Stock Price Data (Yahoo Finance); Stock Performance Decomposition (Visible Alpha).</w:t>
      </w:r>
    </w:p>
    <w:p>
      <w:pPr>
        <w:pStyle w:val="Heading3"/>
      </w:pPr>
      <w:r>
        <w:rPr>
          <w:rFonts w:ascii="Calibri" w:hAnsi="Calibri"/>
          <w:b/>
          <w:color w:val="3B4259"/>
          <w:sz w:val="24"/>
        </w:rPr>
        <w:t>Key Events Since Q1 2026 Earnings (May 5, 2026)</w:t>
      </w:r>
    </w:p>
    <w:p>
      <w:pPr>
        <w:pStyle w:val="ListBullet"/>
        <w:ind w:left="360" w:hanging="360"/>
      </w:pPr>
      <w:r>
        <w:rPr>
          <w:rFonts w:ascii="Calibri" w:hAnsi="Calibri"/>
          <w:b/>
          <w:color w:val="525866"/>
          <w:sz w:val="22"/>
        </w:rPr>
        <w:t xml:space="preserve">May 5, 2026 (Q1 Earnings): </w:t>
      </w:r>
      <w:r>
        <w:rPr>
          <w:rFonts w:ascii="Calibri" w:hAnsi="Calibri"/>
          <w:color w:val="525866"/>
          <w:sz w:val="22"/>
        </w:rPr>
        <w:t>Beat on revenue and EPS; Q2 guidance flagged as toughest YoY comparison; stock fell ~10% intraday on weak Q2 guide and branded checkout running at low end of FY guidance.</w:t>
      </w:r>
    </w:p>
    <w:p>
      <w:pPr>
        <w:pStyle w:val="ListBullet"/>
        <w:ind w:left="360" w:hanging="360"/>
      </w:pPr>
      <w:r>
        <w:rPr>
          <w:rFonts w:ascii="Calibri" w:hAnsi="Calibri"/>
          <w:b/>
          <w:color w:val="525866"/>
          <w:sz w:val="22"/>
        </w:rPr>
        <w:t xml:space="preserve">May 15, 2026 (8-K): </w:t>
      </w:r>
      <w:r>
        <w:rPr>
          <w:rFonts w:ascii="Calibri" w:hAnsi="Calibri"/>
          <w:color w:val="525866"/>
          <w:sz w:val="22"/>
        </w:rPr>
        <w:t>PayPal issued $2 billion in senior notes across three tranches — routine capital markets activity, no guidance change.</w:t>
      </w:r>
    </w:p>
    <w:p>
      <w:pPr>
        <w:pStyle w:val="ListBullet"/>
        <w:ind w:left="360" w:hanging="360"/>
      </w:pPr>
      <w:r>
        <w:rPr>
          <w:rFonts w:ascii="Calibri" w:hAnsi="Calibri"/>
          <w:b/>
          <w:color w:val="525866"/>
          <w:sz w:val="22"/>
        </w:rPr>
        <w:t xml:space="preserve">May 27, 2026 (Bernstein Conference): </w:t>
      </w:r>
      <w:r>
        <w:rPr>
          <w:rFonts w:ascii="Calibri" w:hAnsi="Calibri"/>
          <w:color w:val="525866"/>
          <w:sz w:val="22"/>
        </w:rPr>
        <w:t>CEO Lores reiterated full-year guidance; confirmed Q2 QTD branded checkout at low end; noted May stronger than April; flagged travel/Europe headwinds.</w:t>
      </w:r>
    </w:p>
    <w:p>
      <w:pPr>
        <w:pStyle w:val="ListBullet"/>
        <w:ind w:left="360" w:hanging="360"/>
      </w:pPr>
      <w:r>
        <w:rPr>
          <w:rFonts w:ascii="Calibri" w:hAnsi="Calibri"/>
          <w:b/>
          <w:color w:val="525866"/>
          <w:sz w:val="22"/>
        </w:rPr>
        <w:t xml:space="preserve">June 3, 2026 (Evercore TMT Conference): </w:t>
      </w:r>
      <w:r>
        <w:rPr>
          <w:rFonts w:ascii="Calibri" w:hAnsi="Calibri"/>
          <w:color w:val="525866"/>
          <w:sz w:val="22"/>
        </w:rPr>
        <w:t>CTO Srini Venkatesan provided detailed technology roadmap update — identity convergence complete, AI code migration factory operational, Merchant AI Integration Agent deployed.</w:t>
      </w:r>
    </w:p>
    <w:p>
      <w:pPr>
        <w:pStyle w:val="ListBullet"/>
        <w:ind w:left="360" w:hanging="360"/>
      </w:pPr>
      <w:r>
        <w:rPr>
          <w:rFonts w:ascii="Calibri" w:hAnsi="Calibri"/>
          <w:b/>
          <w:color w:val="525866"/>
          <w:sz w:val="22"/>
        </w:rPr>
        <w:t xml:space="preserve">July 15, 2026 (M&amp;A Report): </w:t>
      </w:r>
      <w:r>
        <w:rPr>
          <w:rFonts w:ascii="Calibri" w:hAnsi="Calibri"/>
          <w:color w:val="525866"/>
          <w:sz w:val="22"/>
        </w:rPr>
        <w:t>Reuters reported Stripe and Advent International made a joint bid at $60.50/share (~$53B+ valuation, ~28% premium to prior close). Stock surged +17% on the day, closing at $55.52.</w:t>
      </w:r>
    </w:p>
    <w:p>
      <w:pPr>
        <w:pStyle w:val="ListBullet"/>
        <w:ind w:left="360" w:hanging="360"/>
      </w:pPr>
      <w:r>
        <w:rPr>
          <w:rFonts w:ascii="Calibri" w:hAnsi="Calibri"/>
          <w:b/>
          <w:color w:val="525866"/>
          <w:sz w:val="22"/>
        </w:rPr>
        <w:t xml:space="preserve">July 16–17, 2026 (Board Response): </w:t>
      </w:r>
      <w:r>
        <w:rPr>
          <w:rFonts w:ascii="Calibri" w:hAnsi="Calibri"/>
          <w:color w:val="525866"/>
          <w:sz w:val="22"/>
        </w:rPr>
        <w:t>Reuters reported PayPal's board views the Stripe/Advent offer as inadequate and sees regulatory and financing obstacles. Stock held most gains, trading ~$56–57.</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Stripe/Advent takeover bid is the dominant development since Q1 earnings — it has re-priced the stock but remains unresolved, creating an M&amp;A overhang that will dominate the Q2 earnings call. The board's rejection of the initial bid as inadequate leaves the door open for a higher offer or a prolonged standoff, both of which complicate the fundamental investment thesis.</w:t>
      </w:r>
    </w:p>
    <w:p>
      <w:pPr>
        <w:pStyle w:val="ListBullet"/>
        <w:ind w:left="360" w:hanging="360"/>
      </w:pPr>
      <w:r>
        <w:rPr>
          <w:rFonts w:ascii="Calibri" w:hAnsi="Calibri"/>
          <w:b/>
          <w:color w:val="525866"/>
          <w:sz w:val="22"/>
        </w:rPr>
        <w:t xml:space="preserve">July 15, 2026 — Stripe/Advent Takeover Bid (REPORTED, NOT CONFIRMED): </w:t>
      </w:r>
      <w:r>
        <w:rPr>
          <w:rFonts w:ascii="Calibri" w:hAnsi="Calibri"/>
          <w:color w:val="525866"/>
          <w:sz w:val="22"/>
        </w:rPr>
        <w:t xml:space="preserve">Reuters reported that Stripe and Advent International jointly offered $60.50/share (~$53B+ valuation) for PayPal, backed by ~$50B in committed bank financing. The proposal was submitted in early July following an initial approach in April. Under the proposal, Stripe and Advent would own equal stakes. </w:t>
      </w:r>
      <w:r>
        <w:rPr>
          <w:rFonts w:ascii="Calibri" w:hAnsi="Calibri"/>
          <w:b/>
          <w:color w:val="525866"/>
          <w:sz w:val="22"/>
        </w:rPr>
        <w:t>Important: This is a reported bid based on unnamed sources; no formal offer has been publicly confirmed by PayPal, Stripe, or Advent. PayPal, Stripe, and Advent all declined to comment.</w:t>
      </w:r>
      <w:r>
        <w:rPr>
          <w:rFonts w:ascii="Calibri" w:hAnsi="Calibri"/>
          <w:color w:val="525866"/>
          <w:sz w:val="22"/>
        </w:rPr>
        <w:t xml:space="preserve"> Implication: The bid implies a ~28% premium to the pre-announcement close and validates the long-held view that PYPL is deeply undervalued; however, regulatory complexity (Stripe + PayPal would create a dominant payments entity) and financing scale make deal completion uncertain.</w:t>
      </w:r>
    </w:p>
    <w:p>
      <w:pPr>
        <w:pStyle w:val="ListBullet"/>
        <w:ind w:left="360" w:hanging="360"/>
      </w:pPr>
      <w:r>
        <w:rPr>
          <w:rFonts w:ascii="Calibri" w:hAnsi="Calibri"/>
          <w:b/>
          <w:color w:val="525866"/>
          <w:sz w:val="22"/>
        </w:rPr>
        <w:t xml:space="preserve">July 16–17, 2026 — Board Rejection (REPORTED, NOT CONFIRMED): </w:t>
      </w:r>
      <w:r>
        <w:rPr>
          <w:rFonts w:ascii="Calibri" w:hAnsi="Calibri"/>
          <w:color w:val="525866"/>
          <w:sz w:val="22"/>
        </w:rPr>
        <w:t>Reuters reported that PayPal's board views the Stripe/Advent offer as inadequate and sees regulatory and financing obstacles. No formal rejection has been publicly filed or confirmed by PayPal. Implication: The board's posture suggests they believe intrinsic value exceeds $60.50/share, which could either invite a higher bid or signal the deal is unlikely to proceed.</w:t>
      </w:r>
    </w:p>
    <w:p>
      <w:pPr>
        <w:pStyle w:val="ListBullet"/>
        <w:ind w:left="360" w:hanging="360"/>
      </w:pPr>
      <w:r>
        <w:rPr>
          <w:rFonts w:ascii="Calibri" w:hAnsi="Calibri"/>
          <w:b/>
          <w:color w:val="525866"/>
          <w:sz w:val="22"/>
        </w:rPr>
        <w:t xml:space="preserve">July 22, 2026 — Stripe Financial Capacity Report: </w:t>
      </w:r>
      <w:r>
        <w:rPr>
          <w:rFonts w:ascii="Calibri" w:hAnsi="Calibri"/>
          <w:color w:val="525866"/>
          <w:sz w:val="22"/>
        </w:rPr>
        <w:t>The Information reported that Stripe generated over $3 billion in free cash flow in 2025 (up more than 50%), establishing its financial capacity to pursue an acquisition of PayPal's scale. Implication: Stripe's strong FCF generation reduces reliance on external financing and strengthens its negotiating position.</w:t>
      </w:r>
    </w:p>
    <w:p>
      <w:pPr>
        <w:pStyle w:val="ListBullet"/>
        <w:ind w:left="360" w:hanging="360"/>
      </w:pPr>
      <w:r>
        <w:rPr>
          <w:rFonts w:ascii="Calibri" w:hAnsi="Calibri"/>
          <w:b/>
          <w:color w:val="525866"/>
          <w:sz w:val="22"/>
        </w:rPr>
        <w:t xml:space="preserve">May 15, 2026 — $2 Billion Senior Notes Issuance (8-K): </w:t>
      </w:r>
      <w:r>
        <w:rPr>
          <w:rFonts w:ascii="Calibri" w:hAnsi="Calibri"/>
          <w:color w:val="525866"/>
          <w:sz w:val="22"/>
        </w:rPr>
        <w:t>PayPal issued $2 billion in senior notes across three tranches. Routine capital markets activity; no guidance change. Implication: Demonstrates continued access to debt markets at favorable terms; no strategic signal.</w:t>
      </w:r>
    </w:p>
    <w:p>
      <w:pPr>
        <w:pStyle w:val="ListBullet"/>
        <w:ind w:left="360" w:hanging="360"/>
      </w:pPr>
      <w:r>
        <w:rPr>
          <w:rFonts w:ascii="Calibri" w:hAnsi="Calibri"/>
          <w:b/>
          <w:color w:val="525866"/>
          <w:sz w:val="22"/>
        </w:rPr>
        <w:t xml:space="preserve">May 27, 2026 — Bernstein Conference (CEO Lores): </w:t>
      </w:r>
      <w:r>
        <w:rPr>
          <w:rFonts w:ascii="Calibri" w:hAnsi="Calibri"/>
          <w:color w:val="525866"/>
          <w:sz w:val="22"/>
        </w:rPr>
        <w:t>Reiterated full-year guidance; confirmed Q2 QTD branded checkout at low end of FY guide; noted May stronger than April; flagged travel vertical slowdown (especially Europe) and muted European growth as incremental headwinds. Implication: No positive revision catalyst; confirms the Q2 setup is as guided.</w:t>
      </w:r>
    </w:p>
    <w:p>
      <w:pPr>
        <w:pStyle w:val="ListBullet"/>
        <w:ind w:left="360" w:hanging="360"/>
      </w:pPr>
      <w:r>
        <w:rPr>
          <w:rFonts w:ascii="Calibri" w:hAnsi="Calibri"/>
          <w:b/>
          <w:color w:val="525866"/>
          <w:sz w:val="22"/>
        </w:rPr>
        <w:t xml:space="preserve">June 3, 2026 — Evercore TMT Conference (CTO Venkatesan): </w:t>
      </w:r>
      <w:r>
        <w:rPr>
          <w:rFonts w:ascii="Calibri" w:hAnsi="Calibri"/>
          <w:color w:val="525866"/>
          <w:sz w:val="22"/>
        </w:rPr>
        <w:t>Most detailed public accounting of PayPal's technology transformation to date — identity convergence complete, AI code migration factory operational (150 of 300 C++ apps migrated to Java in 6 months with no human involvement), Merchant AI Integration Agent deployed (completes merchant upgrades in ~2 hours), payments rail convergence between PayPal and Venmo underway (will unlock BNPL for Venmo). Implication: Technology progress is real and accelerating, but the Oracle database migration (the foundation) will take at least 2 more years — near-term financial impact is limited.</w:t>
      </w:r>
    </w:p>
    <w:p>
      <w:pPr>
        <w:pStyle w:val="ListBullet"/>
        <w:ind w:left="360" w:hanging="360"/>
      </w:pPr>
      <w:r>
        <w:rPr>
          <w:rFonts w:ascii="Calibri" w:hAnsi="Calibri"/>
          <w:b/>
          <w:color w:val="525866"/>
          <w:sz w:val="22"/>
        </w:rPr>
        <w:t xml:space="preserve">July 7, 2026 — Fiserv Debit Network Acquisition Report: </w:t>
      </w:r>
      <w:r>
        <w:rPr>
          <w:rFonts w:ascii="Calibri" w:hAnsi="Calibri"/>
          <w:color w:val="525866"/>
          <w:sz w:val="22"/>
        </w:rPr>
        <w:t>Reports that major U.S. banks (including JPMorgan and Bank of America) are exploring acquisition of Fiserv's debit card network. Implication: Potential read-through for PayPal — if banks consolidate debit infrastructure, it could intensify competition in the debit/payments processing space where PayPal is also investing.</w:t>
      </w:r>
    </w:p>
    <w:p>
      <w:r>
        <w:br w:type="page"/>
      </w:r>
    </w:p>
    <w:p>
      <w:pPr>
        <w:pStyle w:val="Heading2"/>
      </w:pPr>
      <w:r>
        <w:rPr>
          <w:rFonts w:ascii="Calibri" w:hAnsi="Calibri"/>
          <w:b/>
          <w:color w:val="3B4259"/>
          <w:sz w:val="28"/>
        </w:rPr>
        <w:t>7. Peer Commentaries — Current-Quarter Read-Through (Last 60 Days)</w:t>
      </w:r>
    </w:p>
    <w:p>
      <w:r>
        <w:rPr>
          <w:rFonts w:ascii="Calibri" w:hAnsi="Calibri"/>
          <w:b/>
          <w:color w:val="525866"/>
          <w:sz w:val="22"/>
        </w:rPr>
        <w:t xml:space="preserve">Scope note: </w:t>
      </w:r>
      <w:r>
        <w:rPr>
          <w:rFonts w:ascii="Calibri" w:hAnsi="Calibri"/>
          <w:color w:val="525866"/>
          <w:sz w:val="22"/>
        </w:rPr>
        <w:t>This section includes only peer commentary from the last 60 days (approximately May 27 – July 27, 2026) that directly addresses current operating conditions, Q2 2026 trends, or the current reporting quarter. Commentary that exclusively discussed prior-quarter results without forward-looking content has been excluded.</w:t>
      </w:r>
    </w:p>
    <w:p>
      <w:pPr>
        <w:pStyle w:val="Heading3"/>
      </w:pPr>
      <w:r>
        <w:rPr>
          <w:rFonts w:ascii="Calibri" w:hAnsi="Calibri"/>
          <w:b/>
          <w:color w:val="3B4259"/>
          <w:sz w:val="24"/>
        </w:rPr>
        <w:t>7a. Affirm Holdings (AFRM) — Evercore TMT Global Conference, June 3, 2026</w:t>
      </w:r>
    </w:p>
    <w:p>
      <w:r>
        <w:rPr>
          <w:rFonts w:ascii="Calibri" w:hAnsi="Calibri"/>
          <w:b/>
          <w:color w:val="525866"/>
          <w:sz w:val="22"/>
        </w:rPr>
        <w:t xml:space="preserve">Relevance: </w:t>
      </w:r>
      <w:r>
        <w:rPr>
          <w:rFonts w:ascii="Calibri" w:hAnsi="Calibri"/>
          <w:color w:val="525866"/>
          <w:sz w:val="22"/>
        </w:rPr>
        <w:t>AFRM is PayPal's closest BNPL competitor and a direct read-through on consumer credit health and BNPL demand trends in Q2 2026.</w:t>
      </w:r>
    </w:p>
    <w:p>
      <w:pPr>
        <w:pStyle w:val="ListBullet"/>
        <w:ind w:left="360" w:hanging="360"/>
      </w:pPr>
      <w:r>
        <w:rPr>
          <w:rFonts w:ascii="Calibri" w:hAnsi="Calibri"/>
          <w:b/>
          <w:color w:val="525866"/>
          <w:sz w:val="22"/>
        </w:rPr>
        <w:t xml:space="preserve">Consumer health remains strong: </w:t>
      </w:r>
      <w:r>
        <w:rPr>
          <w:rFonts w:ascii="Calibri" w:hAnsi="Calibri"/>
          <w:color w:val="525866"/>
          <w:sz w:val="22"/>
        </w:rPr>
        <w:t xml:space="preserve">CFO Robert O'Hare stated explicitly that Affirm "still see[s] a really healthy consumer, and we haven't seen any sort of turn for the negative in the last weeks" (as of June 3, 2026). The primary internal metric — first payment delinquency — showed no deterioration. </w:t>
      </w:r>
      <w:r>
        <w:rPr>
          <w:rFonts w:ascii="Calibri" w:hAnsi="Calibri"/>
          <w:b/>
          <w:color w:val="525866"/>
          <w:sz w:val="22"/>
        </w:rPr>
        <w:t xml:space="preserve">Read-through: </w:t>
      </w:r>
      <w:r>
        <w:rPr>
          <w:rFonts w:ascii="Calibri" w:hAnsi="Calibri"/>
          <w:color w:val="525866"/>
          <w:sz w:val="22"/>
        </w:rPr>
        <w:t>Positive for PayPal's BNPL credit performance and consumer transaction volumes in Q2 2026.</w:t>
      </w:r>
    </w:p>
    <w:p>
      <w:pPr>
        <w:pStyle w:val="ListBullet"/>
        <w:ind w:left="360" w:hanging="360"/>
      </w:pPr>
      <w:r>
        <w:rPr>
          <w:rFonts w:ascii="Calibri" w:hAnsi="Calibri"/>
          <w:b/>
          <w:color w:val="525866"/>
          <w:sz w:val="22"/>
        </w:rPr>
        <w:t xml:space="preserve">BNPL demand accelerating: </w:t>
      </w:r>
      <w:r>
        <w:rPr>
          <w:rFonts w:ascii="Calibri" w:hAnsi="Calibri"/>
          <w:color w:val="525866"/>
          <w:sz w:val="22"/>
        </w:rPr>
        <w:t xml:space="preserve">Affirm's GMV is "accelerating year-over-year ex-Walmart," with both point-of-sale and direct-to-consumer businesses growing "far in excess of the at least 10%" medium-term target. Medium-term GMV growth target is "at least 25%." </w:t>
      </w:r>
      <w:r>
        <w:rPr>
          <w:rFonts w:ascii="Calibri" w:hAnsi="Calibri"/>
          <w:b/>
          <w:color w:val="525866"/>
          <w:sz w:val="22"/>
        </w:rPr>
        <w:t xml:space="preserve">Read-through: </w:t>
      </w:r>
      <w:r>
        <w:rPr>
          <w:rFonts w:ascii="Calibri" w:hAnsi="Calibri"/>
          <w:color w:val="525866"/>
          <w:sz w:val="22"/>
        </w:rPr>
        <w:t>Suggests the BNPL market is expanding robustly, which is a tailwind for PayPal's Pay in 4 and BNPL offerings.</w:t>
      </w:r>
    </w:p>
    <w:p>
      <w:pPr>
        <w:pStyle w:val="ListBullet"/>
        <w:ind w:left="360" w:hanging="360"/>
      </w:pPr>
      <w:r>
        <w:rPr>
          <w:rFonts w:ascii="Calibri" w:hAnsi="Calibri"/>
          <w:b/>
          <w:color w:val="525866"/>
          <w:sz w:val="22"/>
        </w:rPr>
        <w:t xml:space="preserve">ABS spreads at all-time lows: </w:t>
      </w:r>
      <w:r>
        <w:rPr>
          <w:rFonts w:ascii="Calibri" w:hAnsi="Calibri"/>
          <w:color w:val="525866"/>
          <w:sz w:val="22"/>
        </w:rPr>
        <w:t xml:space="preserve">Affirm noted spreads on its ABS deals are at "all-time lows on a like-for-like basis across recent deals," reflecting strong investor confidence in BNPL credit quality. </w:t>
      </w:r>
      <w:r>
        <w:rPr>
          <w:rFonts w:ascii="Calibri" w:hAnsi="Calibri"/>
          <w:b/>
          <w:color w:val="525866"/>
          <w:sz w:val="22"/>
        </w:rPr>
        <w:t xml:space="preserve">Read-through: </w:t>
      </w:r>
      <w:r>
        <w:rPr>
          <w:rFonts w:ascii="Calibri" w:hAnsi="Calibri"/>
          <w:color w:val="525866"/>
          <w:sz w:val="22"/>
        </w:rPr>
        <w:t>Favorable funding conditions for PayPal's BNPL portfolio; lower cost of capital supports profitability.</w:t>
      </w:r>
    </w:p>
    <w:p>
      <w:pPr>
        <w:pStyle w:val="ListBullet"/>
        <w:ind w:left="360" w:hanging="360"/>
      </w:pPr>
      <w:r>
        <w:rPr>
          <w:rFonts w:ascii="Calibri" w:hAnsi="Calibri"/>
          <w:b/>
          <w:color w:val="525866"/>
          <w:sz w:val="22"/>
        </w:rPr>
        <w:t xml:space="preserve">Repeat borrower base is sticky: </w:t>
      </w:r>
      <w:r>
        <w:rPr>
          <w:rFonts w:ascii="Calibri" w:hAnsi="Calibri"/>
          <w:color w:val="525866"/>
          <w:sz w:val="22"/>
        </w:rPr>
        <w:t xml:space="preserve">More than 95% of Affirm's transactions in a given quarter come from repeat borrowers, with average income ~$75K and FICO scores in the 650–660 range (prime to near-prime). </w:t>
      </w:r>
      <w:r>
        <w:rPr>
          <w:rFonts w:ascii="Calibri" w:hAnsi="Calibri"/>
          <w:b/>
          <w:color w:val="525866"/>
          <w:sz w:val="22"/>
        </w:rPr>
        <w:t xml:space="preserve">Read-through: </w:t>
      </w:r>
      <w:r>
        <w:rPr>
          <w:rFonts w:ascii="Calibri" w:hAnsi="Calibri"/>
          <w:color w:val="525866"/>
          <w:sz w:val="22"/>
        </w:rPr>
        <w:t>Suggests the BNPL user base is stable and engaged, not deteriorating — consistent with PayPal's own consumer engagement narrative.</w:t>
      </w:r>
    </w:p>
    <w:p>
      <w:pPr>
        <w:pStyle w:val="ListBullet"/>
        <w:ind w:left="360" w:hanging="360"/>
      </w:pPr>
      <w:r>
        <w:rPr>
          <w:rFonts w:ascii="Calibri" w:hAnsi="Calibri"/>
          <w:b/>
          <w:color w:val="525866"/>
          <w:sz w:val="22"/>
        </w:rPr>
        <w:t xml:space="preserve">Underwriting nimbleness: </w:t>
      </w:r>
      <w:r>
        <w:rPr>
          <w:rFonts w:ascii="Calibri" w:hAnsi="Calibri"/>
          <w:color w:val="525866"/>
          <w:sz w:val="22"/>
        </w:rPr>
        <w:t xml:space="preserve">Affirm can "course correct and change our aperture really in a matter of days" given short-dated loans (average term ~1 year, weighted average life ~5 months). </w:t>
      </w:r>
      <w:r>
        <w:rPr>
          <w:rFonts w:ascii="Calibri" w:hAnsi="Calibri"/>
          <w:b/>
          <w:color w:val="525866"/>
          <w:sz w:val="22"/>
        </w:rPr>
        <w:t xml:space="preserve">Read-through: </w:t>
      </w:r>
      <w:r>
        <w:rPr>
          <w:rFonts w:ascii="Calibri" w:hAnsi="Calibri"/>
          <w:color w:val="525866"/>
          <w:sz w:val="22"/>
        </w:rPr>
        <w:t>Highlights the structural advantage of BNPL's short-duration credit book in managing macro risk — relevant for PayPal's credit risk management narrative.</w:t>
      </w:r>
    </w:p>
    <w:p>
      <w:r>
        <w:rPr>
          <w:rFonts w:ascii="Calibri" w:hAnsi="Calibri"/>
          <w:b/>
          <w:color w:val="525866"/>
          <w:sz w:val="22"/>
        </w:rPr>
        <w:t xml:space="preserve">Overall AFRM read-through: </w:t>
      </w:r>
      <w:r>
        <w:rPr>
          <w:rFonts w:ascii="Calibri" w:hAnsi="Calibri"/>
          <w:color w:val="525866"/>
          <w:sz w:val="22"/>
        </w:rPr>
        <w:t>Positive for PayPal's Q2 2026 BNPL and consumer credit metrics. The healthy consumer and accelerating BNPL demand environment reduces downside risk to PayPal's transaction margin from credit losses.</w:t>
      </w:r>
    </w:p>
    <w:p>
      <w:pPr>
        <w:pStyle w:val="Heading3"/>
      </w:pPr>
      <w:r>
        <w:rPr>
          <w:rFonts w:ascii="Calibri" w:hAnsi="Calibri"/>
          <w:b/>
          <w:color w:val="3B4259"/>
          <w:sz w:val="24"/>
        </w:rPr>
        <w:t>7b. Fiserv (FI) — Bernstein 42nd Annual Strategic Decisions Conference, May 28, 2026</w:t>
      </w:r>
    </w:p>
    <w:p>
      <w:r>
        <w:rPr>
          <w:rFonts w:ascii="Calibri" w:hAnsi="Calibri"/>
          <w:b/>
          <w:color w:val="525866"/>
          <w:sz w:val="22"/>
        </w:rPr>
        <w:t xml:space="preserve">Relevance: </w:t>
      </w:r>
      <w:r>
        <w:rPr>
          <w:rFonts w:ascii="Calibri" w:hAnsi="Calibri"/>
          <w:color w:val="525866"/>
          <w:sz w:val="22"/>
        </w:rPr>
        <w:t>Fiserv is a major payment processing and merchant services competitor. CEO Michael Lyons's commentary directly addresses current demand conditions, AI-driven modernization, and the competitive landscape for merchant payments — all directly relevant to PayPal's Q2 2026 operating environment.</w:t>
      </w:r>
    </w:p>
    <w:p>
      <w:pPr>
        <w:pStyle w:val="ListBullet"/>
        <w:ind w:left="360" w:hanging="360"/>
      </w:pPr>
      <w:r>
        <w:rPr>
          <w:rFonts w:ascii="Calibri" w:hAnsi="Calibri"/>
          <w:b/>
          <w:color w:val="525866"/>
          <w:sz w:val="22"/>
        </w:rPr>
        <w:t xml:space="preserve">Digital payments end markets are healthy: </w:t>
      </w:r>
      <w:r>
        <w:rPr>
          <w:rFonts w:ascii="Calibri" w:hAnsi="Calibri"/>
          <w:color w:val="525866"/>
          <w:sz w:val="22"/>
        </w:rPr>
        <w:t xml:space="preserve">Lyons described "very healthy end markets. Volumes are growing and there's strong secular change in payments, real-time digital embedded." Fiserv's digital payments segment generates "just under $4 billion in revenue." </w:t>
      </w:r>
      <w:r>
        <w:rPr>
          <w:rFonts w:ascii="Calibri" w:hAnsi="Calibri"/>
          <w:b/>
          <w:color w:val="525866"/>
          <w:sz w:val="22"/>
        </w:rPr>
        <w:t xml:space="preserve">Read-through: </w:t>
      </w:r>
      <w:r>
        <w:rPr>
          <w:rFonts w:ascii="Calibri" w:hAnsi="Calibri"/>
          <w:color w:val="525866"/>
          <w:sz w:val="22"/>
        </w:rPr>
        <w:t>Positive macro backdrop for PayPal's TPV growth in Q2 2026; secular tailwinds in digital payments remain intact.</w:t>
      </w:r>
    </w:p>
    <w:p>
      <w:pPr>
        <w:pStyle w:val="ListBullet"/>
        <w:ind w:left="360" w:hanging="360"/>
      </w:pPr>
      <w:r>
        <w:rPr>
          <w:rFonts w:ascii="Calibri" w:hAnsi="Calibri"/>
          <w:b/>
          <w:color w:val="525866"/>
          <w:sz w:val="22"/>
        </w:rPr>
        <w:t xml:space="preserve">Clover SMB growth sustained at 10% organically: </w:t>
      </w:r>
      <w:r>
        <w:rPr>
          <w:rFonts w:ascii="Calibri" w:hAnsi="Calibri"/>
          <w:color w:val="525866"/>
          <w:sz w:val="22"/>
        </w:rPr>
        <w:t xml:space="preserve">Lyons noted Clover has delivered 8–12% organic growth every quarter since 2022, averaging 10%. Fiserv launched healthcare and professional services verticals in March 2026 and international is now over 20% of total Clover. </w:t>
      </w:r>
      <w:r>
        <w:rPr>
          <w:rFonts w:ascii="Calibri" w:hAnsi="Calibri"/>
          <w:b/>
          <w:color w:val="525866"/>
          <w:sz w:val="22"/>
        </w:rPr>
        <w:t xml:space="preserve">Read-through: </w:t>
      </w:r>
      <w:r>
        <w:rPr>
          <w:rFonts w:ascii="Calibri" w:hAnsi="Calibri"/>
          <w:color w:val="525866"/>
          <w:sz w:val="22"/>
        </w:rPr>
        <w:t>Sustained SMB payment volume growth is a positive read-through for PayPal's merchant TPV, though Fiserv's vertical expansion into healthcare/professional services represents incremental competitive pressure in segments PayPal also targets.</w:t>
      </w:r>
    </w:p>
    <w:p>
      <w:pPr>
        <w:pStyle w:val="ListBullet"/>
        <w:ind w:left="360" w:hanging="360"/>
      </w:pPr>
      <w:r>
        <w:rPr>
          <w:rFonts w:ascii="Calibri" w:hAnsi="Calibri"/>
          <w:b/>
          <w:color w:val="525866"/>
          <w:sz w:val="22"/>
        </w:rPr>
        <w:t xml:space="preserve">AI driving 40–60% faster product development: </w:t>
      </w:r>
      <w:r>
        <w:rPr>
          <w:rFonts w:ascii="Calibri" w:hAnsi="Calibri"/>
          <w:color w:val="525866"/>
          <w:sz w:val="22"/>
        </w:rPr>
        <w:t xml:space="preserve">Lyons stated AI is enabling Fiserv to deliver products "40%, 50%, 60% faster just in the last couple of months," with AI turning "systems of record into systems of greater value" through higher auth rates, lower fraud rates, and hyper-personalized offers. Fiserv announced a formal partnership with Cognition (Devin AI software engineer agent) for core modernization. </w:t>
      </w:r>
      <w:r>
        <w:rPr>
          <w:rFonts w:ascii="Calibri" w:hAnsi="Calibri"/>
          <w:b/>
          <w:color w:val="525866"/>
          <w:sz w:val="22"/>
        </w:rPr>
        <w:t xml:space="preserve">Read-through: </w:t>
      </w:r>
      <w:r>
        <w:rPr>
          <w:rFonts w:ascii="Calibri" w:hAnsi="Calibri"/>
          <w:color w:val="525866"/>
          <w:sz w:val="22"/>
        </w:rPr>
        <w:t>Competitive intensity in payment processing is rising as AI accelerates product cycles across the industry — PayPal's own AI modernization (CTO Venkatesan's June 3 commentary) is a necessary response, not a differentiator.</w:t>
      </w:r>
    </w:p>
    <w:p>
      <w:pPr>
        <w:pStyle w:val="ListBullet"/>
        <w:ind w:left="360" w:hanging="360"/>
      </w:pPr>
      <w:r>
        <w:rPr>
          <w:rFonts w:ascii="Calibri" w:hAnsi="Calibri"/>
          <w:b/>
          <w:color w:val="525866"/>
          <w:sz w:val="22"/>
        </w:rPr>
        <w:t xml:space="preserve">Agentic commerce gaining real traction: </w:t>
      </w:r>
      <w:r>
        <w:rPr>
          <w:rFonts w:ascii="Calibri" w:hAnsi="Calibri"/>
          <w:color w:val="525866"/>
          <w:sz w:val="22"/>
        </w:rPr>
        <w:t xml:space="preserve">Fiserv's AgentOS (launched at Investor Day) received "incredible receptivity" with 2 betas live and Fiserv "flooded with calls" from banks and agents. Fiserv is also working on "democratization of Agentic commerce for the 900,000 merchants in Clover." </w:t>
      </w:r>
      <w:r>
        <w:rPr>
          <w:rFonts w:ascii="Calibri" w:hAnsi="Calibri"/>
          <w:b/>
          <w:color w:val="525866"/>
          <w:sz w:val="22"/>
        </w:rPr>
        <w:t xml:space="preserve">Read-through: </w:t>
      </w:r>
      <w:r>
        <w:rPr>
          <w:rFonts w:ascii="Calibri" w:hAnsi="Calibri"/>
          <w:color w:val="525866"/>
          <w:sz w:val="22"/>
        </w:rPr>
        <w:t>Validates PayPal's strategic bet on agentic commerce (MCP server, Cymbio integration), but also signals that Fiserv is moving aggressively in the same direction — the window for PayPal to establish a differentiated position is narrowing.</w:t>
      </w:r>
    </w:p>
    <w:p>
      <w:pPr>
        <w:pStyle w:val="ListBullet"/>
        <w:ind w:left="360" w:hanging="360"/>
      </w:pPr>
      <w:r>
        <w:rPr>
          <w:rFonts w:ascii="Calibri" w:hAnsi="Calibri"/>
          <w:b/>
          <w:color w:val="525866"/>
          <w:sz w:val="22"/>
        </w:rPr>
        <w:t xml:space="preserve">Commerce Hub processing $200B annually in 40 countries: </w:t>
      </w:r>
      <w:r>
        <w:rPr>
          <w:rFonts w:ascii="Calibri" w:hAnsi="Calibri"/>
          <w:color w:val="525866"/>
          <w:sz w:val="22"/>
        </w:rPr>
        <w:t xml:space="preserve">Fiserv's enterprise omnichannel platform is "live today" and "growing very rapidly." Lyons noted that in e-commerce, "historical relationships don't matter as much as the data and the effectiveness of your algorithm." </w:t>
      </w:r>
      <w:r>
        <w:rPr>
          <w:rFonts w:ascii="Calibri" w:hAnsi="Calibri"/>
          <w:b/>
          <w:color w:val="525866"/>
          <w:sz w:val="22"/>
        </w:rPr>
        <w:t xml:space="preserve">Read-through: </w:t>
      </w:r>
      <w:r>
        <w:rPr>
          <w:rFonts w:ascii="Calibri" w:hAnsi="Calibri"/>
          <w:color w:val="525866"/>
          <w:sz w:val="22"/>
        </w:rPr>
        <w:t>Intensifying competition in enterprise/omnichannel payments — a core market for PayPal's Braintree/PSP business. The emphasis on auth rates and fraud as the key differentiators aligns with PayPal's own technology investment thesis.</w:t>
      </w:r>
    </w:p>
    <w:p>
      <w:pPr>
        <w:pStyle w:val="ListBullet"/>
        <w:ind w:left="360" w:hanging="360"/>
      </w:pPr>
      <w:r>
        <w:rPr>
          <w:rFonts w:ascii="Calibri" w:hAnsi="Calibri"/>
          <w:b/>
          <w:color w:val="525866"/>
          <w:sz w:val="22"/>
        </w:rPr>
        <w:t xml:space="preserve">Stablecoin (FIUSD) going live in July with limited near-term demand: </w:t>
      </w:r>
      <w:r>
        <w:rPr>
          <w:rFonts w:ascii="Calibri" w:hAnsi="Calibri"/>
          <w:color w:val="525866"/>
          <w:sz w:val="22"/>
        </w:rPr>
        <w:t xml:space="preserve">Fiserv's FIUSD stablecoin goes live in July 2026, but Lyons acknowledged "there isn't massive demand for it today." </w:t>
      </w:r>
      <w:r>
        <w:rPr>
          <w:rFonts w:ascii="Calibri" w:hAnsi="Calibri"/>
          <w:b/>
          <w:color w:val="525866"/>
          <w:sz w:val="22"/>
        </w:rPr>
        <w:t xml:space="preserve">Read-through: </w:t>
      </w:r>
      <w:r>
        <w:rPr>
          <w:rFonts w:ascii="Calibri" w:hAnsi="Calibri"/>
          <w:color w:val="525866"/>
          <w:sz w:val="22"/>
        </w:rPr>
        <w:t>Tempers near-term expectations for PayPal's PYUSD stablecoin monetization — the market for stablecoins in payments is still nascent, consistent with PayPal's own framing of PYUSD as a longer-term opportunity.</w:t>
      </w:r>
    </w:p>
    <w:p>
      <w:pPr>
        <w:pStyle w:val="ListBullet"/>
        <w:ind w:left="360" w:hanging="360"/>
      </w:pPr>
      <w:r>
        <w:rPr>
          <w:rFonts w:ascii="Calibri" w:hAnsi="Calibri"/>
          <w:b/>
          <w:color w:val="525866"/>
          <w:sz w:val="22"/>
        </w:rPr>
        <w:t xml:space="preserve">Merchant lending (Clover Capital) now an organized focus: </w:t>
      </w:r>
      <w:r>
        <w:rPr>
          <w:rFonts w:ascii="Calibri" w:hAnsi="Calibri"/>
          <w:color w:val="525866"/>
          <w:sz w:val="22"/>
        </w:rPr>
        <w:t xml:space="preserve">Fiserv noted Clover Capital penetration is in "low single digits" and "hasn't been an organized focus for us. It is now." </w:t>
      </w:r>
      <w:r>
        <w:rPr>
          <w:rFonts w:ascii="Calibri" w:hAnsi="Calibri"/>
          <w:b/>
          <w:color w:val="525866"/>
          <w:sz w:val="22"/>
        </w:rPr>
        <w:t xml:space="preserve">Read-through: </w:t>
      </w:r>
      <w:r>
        <w:rPr>
          <w:rFonts w:ascii="Calibri" w:hAnsi="Calibri"/>
          <w:color w:val="525866"/>
          <w:sz w:val="22"/>
        </w:rPr>
        <w:t>Fiserv is entering merchant lending more aggressively — a space where PayPal's Working Capital product already has scale. Competitive pressure on merchant financial services is increasing.</w:t>
      </w:r>
    </w:p>
    <w:p>
      <w:r>
        <w:rPr>
          <w:rFonts w:ascii="Calibri" w:hAnsi="Calibri"/>
          <w:b/>
          <w:color w:val="525866"/>
          <w:sz w:val="22"/>
        </w:rPr>
        <w:t xml:space="preserve">Overall FI read-through: </w:t>
      </w:r>
      <w:r>
        <w:rPr>
          <w:rFonts w:ascii="Calibri" w:hAnsi="Calibri"/>
          <w:color w:val="525866"/>
          <w:sz w:val="22"/>
        </w:rPr>
        <w:t>Mixed for PayPal. The healthy digital payments macro environment and sustained SMB volume growth are positive. However, Fiserv's accelerating AI-driven product development, agentic commerce push, and entry into merchant lending signal rising competitive intensity across multiple PayPal business lines.</w:t>
      </w:r>
    </w:p>
    <w:p>
      <w:pPr>
        <w:pStyle w:val="Heading3"/>
      </w:pPr>
      <w:r>
        <w:rPr>
          <w:rFonts w:ascii="Calibri" w:hAnsi="Calibri"/>
          <w:b/>
          <w:color w:val="3B4259"/>
          <w:sz w:val="24"/>
        </w:rPr>
        <w:t>7c. Visa (V) — Q3 FY2026 Earnings (April 29, 2026) — Read-Through Score: +0.27</w:t>
      </w:r>
    </w:p>
    <w:p>
      <w:r>
        <w:rPr>
          <w:rFonts w:ascii="Calibri" w:hAnsi="Calibri"/>
          <w:b/>
          <w:color w:val="525866"/>
          <w:sz w:val="22"/>
        </w:rPr>
        <w:t xml:space="preserve">Relevance: </w:t>
      </w:r>
      <w:r>
        <w:rPr>
          <w:rFonts w:ascii="Calibri" w:hAnsi="Calibri"/>
          <w:color w:val="525866"/>
          <w:sz w:val="22"/>
        </w:rPr>
        <w:t>Visa reports before PayPal and provides the most direct read-through on consumer spending volumes, cross-border trends, and e-commerce health. The read-through score of +0.27 (based on 8 quarters of paired earnings-day excess returns) indicates a moderate positive directional relationship — when Visa beats, PayPal tends to outperform on the same day, though the signal is not strong.</w:t>
      </w:r>
    </w:p>
    <w:p>
      <w:pPr>
        <w:pStyle w:val="ListBullet"/>
        <w:ind w:left="360" w:hanging="360"/>
      </w:pPr>
      <w:r>
        <w:rPr>
          <w:rFonts w:ascii="Calibri" w:hAnsi="Calibri"/>
          <w:b/>
          <w:color w:val="525866"/>
          <w:sz w:val="22"/>
        </w:rPr>
        <w:t xml:space="preserve">Consumer spending volumes healthy: </w:t>
      </w:r>
      <w:r>
        <w:rPr>
          <w:rFonts w:ascii="Calibri" w:hAnsi="Calibri"/>
          <w:color w:val="525866"/>
          <w:sz w:val="22"/>
        </w:rPr>
        <w:t xml:space="preserve">Visa's Q3 FY2026 results (April 29) showed continued healthy consumer spending, with payment volumes growing in the mid-single-digit range. No signs of consumer stress were flagged. </w:t>
      </w:r>
      <w:r>
        <w:rPr>
          <w:rFonts w:ascii="Calibri" w:hAnsi="Calibri"/>
          <w:b/>
          <w:color w:val="525866"/>
          <w:sz w:val="22"/>
        </w:rPr>
        <w:t xml:space="preserve">Read-through: </w:t>
      </w:r>
      <w:r>
        <w:rPr>
          <w:rFonts w:ascii="Calibri" w:hAnsi="Calibri"/>
          <w:color w:val="525866"/>
          <w:sz w:val="22"/>
        </w:rPr>
        <w:t>Positive for PayPal's overall TPV growth in Q2 2026; consumer spending backdrop remains supportive.</w:t>
      </w:r>
    </w:p>
    <w:p>
      <w:pPr>
        <w:pStyle w:val="ListBullet"/>
        <w:ind w:left="360" w:hanging="360"/>
      </w:pPr>
      <w:r>
        <w:rPr>
          <w:rFonts w:ascii="Calibri" w:hAnsi="Calibri"/>
          <w:b/>
          <w:color w:val="525866"/>
          <w:sz w:val="22"/>
        </w:rPr>
        <w:t xml:space="preserve">Cross-border volumes remain a growth driver: </w:t>
      </w:r>
      <w:r>
        <w:rPr>
          <w:rFonts w:ascii="Calibri" w:hAnsi="Calibri"/>
          <w:color w:val="525866"/>
          <w:sz w:val="22"/>
        </w:rPr>
        <w:t xml:space="preserve">Visa's cross-border volumes (ex-intra-Europe) continued to grow at a healthy pace, though travel-related cross-border showed some moderation. </w:t>
      </w:r>
      <w:r>
        <w:rPr>
          <w:rFonts w:ascii="Calibri" w:hAnsi="Calibri"/>
          <w:b/>
          <w:color w:val="525866"/>
          <w:sz w:val="22"/>
        </w:rPr>
        <w:t xml:space="preserve">Read-through: </w:t>
      </w:r>
      <w:r>
        <w:rPr>
          <w:rFonts w:ascii="Calibri" w:hAnsi="Calibri"/>
          <w:color w:val="525866"/>
          <w:sz w:val="22"/>
        </w:rPr>
        <w:t>Partially consistent with PayPal's own flagging of travel vertical slowdown in Europe as a Q2 headwind; cross-border TPV growth may be softer than the headline.</w:t>
      </w:r>
    </w:p>
    <w:p>
      <w:pPr>
        <w:pStyle w:val="ListBullet"/>
        <w:ind w:left="360" w:hanging="360"/>
      </w:pPr>
      <w:r>
        <w:rPr>
          <w:rFonts w:ascii="Calibri" w:hAnsi="Calibri"/>
          <w:b/>
          <w:color w:val="525866"/>
          <w:sz w:val="22"/>
        </w:rPr>
        <w:t xml:space="preserve">Europe softness noted: </w:t>
      </w:r>
      <w:r>
        <w:rPr>
          <w:rFonts w:ascii="Calibri" w:hAnsi="Calibri"/>
          <w:color w:val="525866"/>
          <w:sz w:val="22"/>
        </w:rPr>
        <w:t xml:space="preserve">Visa's commentary on European volumes was more cautious, consistent with macro softness in the region. </w:t>
      </w:r>
      <w:r>
        <w:rPr>
          <w:rFonts w:ascii="Calibri" w:hAnsi="Calibri"/>
          <w:b/>
          <w:color w:val="525866"/>
          <w:sz w:val="22"/>
        </w:rPr>
        <w:t xml:space="preserve">Read-through: </w:t>
      </w:r>
      <w:r>
        <w:rPr>
          <w:rFonts w:ascii="Calibri" w:hAnsi="Calibri"/>
          <w:color w:val="525866"/>
          <w:sz w:val="22"/>
        </w:rPr>
        <w:t>Corroborates PayPal's Q2 QTD commentary on muted European growth — not a PayPal-specific issue but a regional macro headwind.</w:t>
      </w:r>
    </w:p>
    <w:p>
      <w:r>
        <w:rPr>
          <w:rFonts w:ascii="Calibri" w:hAnsi="Calibri"/>
          <w:b/>
          <w:color w:val="525866"/>
          <w:sz w:val="22"/>
        </w:rPr>
        <w:t xml:space="preserve">Overall V read-through: </w:t>
      </w:r>
      <w:r>
        <w:rPr>
          <w:rFonts w:ascii="Calibri" w:hAnsi="Calibri"/>
          <w:color w:val="525866"/>
          <w:sz w:val="22"/>
        </w:rPr>
        <w:t>Modestly positive for PayPal's overall TPV, but the European softness and travel vertical moderation are consistent with PayPal's own Q2 headwind narrative. Read-through score of +0.27 suggests Visa's earnings reaction is a weak-to-moderate positive signal for PYPL on the same day. Source: Read-through / read-across analysis (Visible Alpha).</w:t>
      </w:r>
    </w:p>
    <w:p>
      <w:pPr>
        <w:pStyle w:val="Heading3"/>
      </w:pPr>
      <w:r>
        <w:rPr>
          <w:rFonts w:ascii="Calibri" w:hAnsi="Calibri"/>
          <w:b/>
          <w:color w:val="3B4259"/>
          <w:sz w:val="24"/>
        </w:rPr>
        <w:t>7d. Mastercard (MA) — Q2 2026 Earnings (July 30, 2026) — Read-Through Score: 0.00</w:t>
      </w:r>
    </w:p>
    <w:p>
      <w:r>
        <w:rPr>
          <w:rFonts w:ascii="Calibri" w:hAnsi="Calibri"/>
          <w:b/>
          <w:color w:val="525866"/>
          <w:sz w:val="22"/>
        </w:rPr>
        <w:t xml:space="preserve">Relevance: </w:t>
      </w:r>
      <w:r>
        <w:rPr>
          <w:rFonts w:ascii="Calibri" w:hAnsi="Calibri"/>
          <w:color w:val="525866"/>
          <w:sz w:val="22"/>
        </w:rPr>
        <w:t>Mastercard reports on July 30, two days after PayPal, so it does not provide a pre-print read-through for Q2 results. However, pre-earnings commentary is relevant for the macro backdrop.</w:t>
      </w:r>
    </w:p>
    <w:p>
      <w:pPr>
        <w:pStyle w:val="ListBullet"/>
        <w:ind w:left="360" w:hanging="360"/>
      </w:pPr>
      <w:r>
        <w:rPr>
          <w:rFonts w:ascii="Calibri" w:hAnsi="Calibri"/>
          <w:b/>
          <w:color w:val="525866"/>
          <w:sz w:val="22"/>
        </w:rPr>
        <w:t xml:space="preserve">Bullish pre-earnings sentiment: </w:t>
      </w:r>
      <w:r>
        <w:rPr>
          <w:rFonts w:ascii="Calibri" w:hAnsi="Calibri"/>
          <w:color w:val="525866"/>
          <w:sz w:val="22"/>
        </w:rPr>
        <w:t xml:space="preserve">As of July 24, 2026, market commentary noted that Mastercard's Q2 setup is bullish — consumer spending remains resilient, secular concerns about crypto/stablecoin disruption have cooled, and value-added services revenue is experiencing robust growth. Street is looking for Q2 revenue of +11.5% to $9.068B with EPS of $4.77. </w:t>
      </w:r>
      <w:r>
        <w:rPr>
          <w:rFonts w:ascii="Calibri" w:hAnsi="Calibri"/>
          <w:b/>
          <w:color w:val="525866"/>
          <w:sz w:val="22"/>
        </w:rPr>
        <w:t xml:space="preserve">Read-through: </w:t>
      </w:r>
      <w:r>
        <w:rPr>
          <w:rFonts w:ascii="Calibri" w:hAnsi="Calibri"/>
          <w:color w:val="525866"/>
          <w:sz w:val="22"/>
        </w:rPr>
        <w:t>The resilient consumer spending backdrop and cooling stablecoin disruption concerns are modestly positive for PayPal's Q2 TPV and PYUSD narrative.</w:t>
      </w:r>
    </w:p>
    <w:p>
      <w:pPr>
        <w:pStyle w:val="ListBullet"/>
        <w:ind w:left="360" w:hanging="360"/>
      </w:pPr>
      <w:r>
        <w:rPr>
          <w:rFonts w:ascii="Calibri" w:hAnsi="Calibri"/>
          <w:b/>
          <w:color w:val="525866"/>
          <w:sz w:val="22"/>
        </w:rPr>
        <w:t xml:space="preserve">Mastercard exploring Vocalink sale: </w:t>
      </w:r>
      <w:r>
        <w:rPr>
          <w:rFonts w:ascii="Calibri" w:hAnsi="Calibri"/>
          <w:color w:val="525866"/>
          <w:sz w:val="22"/>
        </w:rPr>
        <w:t xml:space="preserve">Mastercard is examining the sale of its UK payments subsidiary Vocalink back to British banks (reported July 13). </w:t>
      </w:r>
      <w:r>
        <w:rPr>
          <w:rFonts w:ascii="Calibri" w:hAnsi="Calibri"/>
          <w:b/>
          <w:color w:val="525866"/>
          <w:sz w:val="22"/>
        </w:rPr>
        <w:t xml:space="preserve">Read-through: </w:t>
      </w:r>
      <w:r>
        <w:rPr>
          <w:rFonts w:ascii="Calibri" w:hAnsi="Calibri"/>
          <w:color w:val="525866"/>
          <w:sz w:val="22"/>
        </w:rPr>
        <w:t>Limited direct read-through for PayPal; signals ongoing rationalization of non-core assets in the payments industry.</w:t>
      </w:r>
    </w:p>
    <w:p>
      <w:r>
        <w:rPr>
          <w:rFonts w:ascii="Calibri" w:hAnsi="Calibri"/>
          <w:b/>
          <w:color w:val="525866"/>
          <w:sz w:val="22"/>
        </w:rPr>
        <w:t xml:space="preserve">Note: </w:t>
      </w:r>
      <w:r>
        <w:rPr>
          <w:rFonts w:ascii="Calibri" w:hAnsi="Calibri"/>
          <w:color w:val="525866"/>
          <w:sz w:val="22"/>
        </w:rPr>
        <w:t>MA's read-through score of 0.00 (based on 8 quarters) indicates no reliable directional relationship between Mastercard's earnings-day reaction and PayPal's same-day move. MA reports after PYPL's Q2 print, so it is not a pre-print signal for this quarter. Source: Read-through / read-across analysis (Visible Alpha).</w:t>
      </w:r>
    </w:p>
    <w:p>
      <w:pPr>
        <w:pStyle w:val="Heading3"/>
      </w:pPr>
      <w:r>
        <w:rPr>
          <w:rFonts w:ascii="Calibri" w:hAnsi="Calibri"/>
          <w:b/>
          <w:color w:val="3B4259"/>
          <w:sz w:val="24"/>
        </w:rPr>
        <w:t>7e. M&amp;A Overhang — Reporting vs. Confirmed Actions</w:t>
      </w:r>
    </w:p>
    <w:p>
      <w:r>
        <w:rPr>
          <w:rFonts w:ascii="Calibri" w:hAnsi="Calibri"/>
          <w:color w:val="525866"/>
          <w:sz w:val="22"/>
        </w:rPr>
        <w:t>Given the significance of the Stripe/Advent bid to the current stock setup, the following table distinguishes between what has been reported (via unnamed sources) versus what has been publicly confirmed by the parties involved.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Event</w:t>
            </w:r>
          </w:p>
        </w:tc>
        <w:tc>
          <w:tcPr>
            <w:tcW w:type="dxa" w:w="1728"/>
            <w:shd w:val="clear" w:color="auto" w:fill="3B4259"/>
          </w:tcPr>
          <w:p>
            <w:r>
              <w:rPr>
                <w:rFonts w:ascii="Calibri" w:hAnsi="Calibri"/>
                <w:b/>
                <w:color w:val="FFFFFF"/>
                <w:sz w:val="22"/>
              </w:rPr>
              <w:t>Date</w:t>
            </w:r>
          </w:p>
        </w:tc>
        <w:tc>
          <w:tcPr>
            <w:tcW w:type="dxa" w:w="1728"/>
            <w:shd w:val="clear" w:color="auto" w:fill="3B4259"/>
          </w:tcPr>
          <w:p>
            <w:r>
              <w:rPr>
                <w:rFonts w:ascii="Calibri" w:hAnsi="Calibri"/>
                <w:b/>
                <w:color w:val="FFFFFF"/>
                <w:sz w:val="22"/>
              </w:rPr>
              <w:t>Status</w:t>
            </w:r>
          </w:p>
        </w:tc>
        <w:tc>
          <w:tcPr>
            <w:tcW w:type="dxa" w:w="1728"/>
            <w:shd w:val="clear" w:color="auto" w:fill="3B4259"/>
          </w:tcPr>
          <w:p>
            <w:r>
              <w:rPr>
                <w:rFonts w:ascii="Calibri" w:hAnsi="Calibri"/>
                <w:b/>
                <w:color w:val="FFFFFF"/>
                <w:sz w:val="22"/>
              </w:rPr>
              <w:t>Source</w:t>
            </w:r>
          </w:p>
        </w:tc>
        <w:tc>
          <w:tcPr>
            <w:tcW w:type="dxa" w:w="1728"/>
            <w:shd w:val="clear" w:color="auto" w:fill="3B4259"/>
          </w:tcPr>
          <w:p>
            <w:r>
              <w:rPr>
                <w:rFonts w:ascii="Calibri" w:hAnsi="Calibri"/>
                <w:b/>
                <w:color w:val="FFFFFF"/>
                <w:sz w:val="22"/>
              </w:rPr>
              <w:t>Implication</w:t>
            </w:r>
          </w:p>
        </w:tc>
      </w:tr>
      <w:tr>
        <w:tc>
          <w:tcPr>
            <w:tcW w:type="dxa" w:w="1728"/>
          </w:tcPr>
          <w:p>
            <w:r>
              <w:rPr>
                <w:rFonts w:ascii="Calibri" w:hAnsi="Calibri"/>
                <w:sz w:val="22"/>
              </w:rPr>
              <w:t>Stripe/Advent joint bid at $60.50/share (~$53B)</w:t>
            </w:r>
          </w:p>
        </w:tc>
        <w:tc>
          <w:tcPr>
            <w:tcW w:type="dxa" w:w="1728"/>
          </w:tcPr>
          <w:p>
            <w:r>
              <w:rPr>
                <w:rFonts w:ascii="Calibri" w:hAnsi="Calibri"/>
                <w:sz w:val="22"/>
              </w:rPr>
              <w:t>July 15, 2026</w:t>
            </w:r>
          </w:p>
        </w:tc>
        <w:tc>
          <w:tcPr>
            <w:tcW w:type="dxa" w:w="1728"/>
          </w:tcPr>
          <w:p>
            <w:r>
              <w:rPr>
                <w:rFonts w:ascii="Calibri" w:hAnsi="Calibri"/>
                <w:b/>
                <w:sz w:val="22"/>
              </w:rPr>
              <w:t>REPORTED (unnamed sources)</w:t>
            </w:r>
          </w:p>
        </w:tc>
        <w:tc>
          <w:tcPr>
            <w:tcW w:type="dxa" w:w="1728"/>
          </w:tcPr>
          <w:p>
            <w:r>
              <w:rPr>
                <w:rFonts w:ascii="Calibri" w:hAnsi="Calibri"/>
                <w:sz w:val="22"/>
              </w:rPr>
              <w:t>Reuters, The Information, TechCrunch</w:t>
            </w:r>
          </w:p>
        </w:tc>
        <w:tc>
          <w:tcPr>
            <w:tcW w:type="dxa" w:w="1728"/>
          </w:tcPr>
          <w:p>
            <w:r>
              <w:rPr>
                <w:rFonts w:ascii="Calibri" w:hAnsi="Calibri"/>
                <w:sz w:val="22"/>
              </w:rPr>
              <w:t>~28% premium to prior close; all parties declined to comment</w:t>
            </w:r>
          </w:p>
        </w:tc>
      </w:tr>
      <w:tr>
        <w:tc>
          <w:tcPr>
            <w:tcW w:type="dxa" w:w="1728"/>
          </w:tcPr>
          <w:p>
            <w:r>
              <w:rPr>
                <w:rFonts w:ascii="Calibri" w:hAnsi="Calibri"/>
                <w:sz w:val="22"/>
              </w:rPr>
              <w:t>PayPal board views bid as inadequate; sees regulatory/financing obstacles</w:t>
            </w:r>
          </w:p>
        </w:tc>
        <w:tc>
          <w:tcPr>
            <w:tcW w:type="dxa" w:w="1728"/>
          </w:tcPr>
          <w:p>
            <w:r>
              <w:rPr>
                <w:rFonts w:ascii="Calibri" w:hAnsi="Calibri"/>
                <w:sz w:val="22"/>
              </w:rPr>
              <w:t>July 16–17, 2026</w:t>
            </w:r>
          </w:p>
        </w:tc>
        <w:tc>
          <w:tcPr>
            <w:tcW w:type="dxa" w:w="1728"/>
          </w:tcPr>
          <w:p>
            <w:r>
              <w:rPr>
                <w:rFonts w:ascii="Calibri" w:hAnsi="Calibri"/>
                <w:b/>
                <w:sz w:val="22"/>
              </w:rPr>
              <w:t>REPORTED (unnamed sources)</w:t>
            </w:r>
          </w:p>
        </w:tc>
        <w:tc>
          <w:tcPr>
            <w:tcW w:type="dxa" w:w="1728"/>
          </w:tcPr>
          <w:p>
            <w:r>
              <w:rPr>
                <w:rFonts w:ascii="Calibri" w:hAnsi="Calibri"/>
                <w:sz w:val="22"/>
              </w:rPr>
              <w:t>Reuters</w:t>
            </w:r>
          </w:p>
        </w:tc>
        <w:tc>
          <w:tcPr>
            <w:tcW w:type="dxa" w:w="1728"/>
          </w:tcPr>
          <w:p>
            <w:r>
              <w:rPr>
                <w:rFonts w:ascii="Calibri" w:hAnsi="Calibri"/>
                <w:sz w:val="22"/>
              </w:rPr>
              <w:t>Board posture suggests intrinsic value &gt; $60.50; no formal rejection filed</w:t>
            </w:r>
          </w:p>
        </w:tc>
      </w:tr>
      <w:tr>
        <w:tc>
          <w:tcPr>
            <w:tcW w:type="dxa" w:w="1728"/>
          </w:tcPr>
          <w:p>
            <w:r>
              <w:rPr>
                <w:rFonts w:ascii="Calibri" w:hAnsi="Calibri"/>
                <w:sz w:val="22"/>
              </w:rPr>
              <w:t>Stripe generated $3B+ FCF in 2025 (up 50%+)</w:t>
            </w:r>
          </w:p>
        </w:tc>
        <w:tc>
          <w:tcPr>
            <w:tcW w:type="dxa" w:w="1728"/>
          </w:tcPr>
          <w:p>
            <w:r>
              <w:rPr>
                <w:rFonts w:ascii="Calibri" w:hAnsi="Calibri"/>
                <w:sz w:val="22"/>
              </w:rPr>
              <w:t>July 22, 2026</w:t>
            </w:r>
          </w:p>
        </w:tc>
        <w:tc>
          <w:tcPr>
            <w:tcW w:type="dxa" w:w="1728"/>
          </w:tcPr>
          <w:p>
            <w:r>
              <w:rPr>
                <w:rFonts w:ascii="Calibri" w:hAnsi="Calibri"/>
                <w:b/>
                <w:sz w:val="22"/>
              </w:rPr>
              <w:t>REPORTED</w:t>
            </w:r>
          </w:p>
        </w:tc>
        <w:tc>
          <w:tcPr>
            <w:tcW w:type="dxa" w:w="1728"/>
          </w:tcPr>
          <w:p>
            <w:r>
              <w:rPr>
                <w:rFonts w:ascii="Calibri" w:hAnsi="Calibri"/>
                <w:sz w:val="22"/>
              </w:rPr>
              <w:t>The Information</w:t>
            </w:r>
          </w:p>
        </w:tc>
        <w:tc>
          <w:tcPr>
            <w:tcW w:type="dxa" w:w="1728"/>
          </w:tcPr>
          <w:p>
            <w:r>
              <w:rPr>
                <w:rFonts w:ascii="Calibri" w:hAnsi="Calibri"/>
                <w:sz w:val="22"/>
              </w:rPr>
              <w:t>Establishes Stripe's financial capacity for a deal of this scale</w:t>
            </w:r>
          </w:p>
        </w:tc>
      </w:tr>
      <w:tr>
        <w:tc>
          <w:tcPr>
            <w:tcW w:type="dxa" w:w="1728"/>
          </w:tcPr>
          <w:p>
            <w:r>
              <w:rPr>
                <w:rFonts w:ascii="Calibri" w:hAnsi="Calibri"/>
                <w:sz w:val="22"/>
              </w:rPr>
              <w:t>Any formal offer, merger agreement, or SEC filing</w:t>
            </w:r>
          </w:p>
        </w:tc>
        <w:tc>
          <w:tcPr>
            <w:tcW w:type="dxa" w:w="1728"/>
          </w:tcPr>
          <w:p>
            <w:r>
              <w:rPr>
                <w:rFonts w:ascii="Calibri" w:hAnsi="Calibri"/>
                <w:sz w:val="22"/>
              </w:rPr>
              <w:t>As of July 27, 2026</w:t>
            </w:r>
          </w:p>
        </w:tc>
        <w:tc>
          <w:tcPr>
            <w:tcW w:type="dxa" w:w="1728"/>
          </w:tcPr>
          <w:p>
            <w:r>
              <w:rPr>
                <w:rFonts w:ascii="Calibri" w:hAnsi="Calibri"/>
                <w:b/>
                <w:sz w:val="22"/>
              </w:rPr>
              <w:t>NOT CONFIRMED — None filed</w:t>
            </w:r>
          </w:p>
        </w:tc>
        <w:tc>
          <w:tcPr>
            <w:tcW w:type="dxa" w:w="1728"/>
          </w:tcPr>
          <w:p>
            <w:r>
              <w:rPr>
                <w:rFonts w:ascii="Calibri" w:hAnsi="Calibri"/>
                <w:sz w:val="22"/>
              </w:rPr>
              <w:t>SEC EDGAR</w:t>
            </w:r>
          </w:p>
        </w:tc>
        <w:tc>
          <w:tcPr>
            <w:tcW w:type="dxa" w:w="1728"/>
          </w:tcPr>
          <w:p>
            <w:r>
              <w:rPr>
                <w:rFonts w:ascii="Calibri" w:hAnsi="Calibri"/>
                <w:sz w:val="22"/>
              </w:rPr>
              <w:t>No 13D, Schedule TO, or merger agreement has been filed with the SEC</w:t>
            </w:r>
          </w:p>
        </w:tc>
      </w:tr>
    </w:tbl>
    <w:p>
      <w:r>
        <w:rPr>
          <w:rFonts w:ascii="Calibri" w:hAnsi="Calibri"/>
          <w:b/>
          <w:color w:val="525866"/>
          <w:sz w:val="22"/>
        </w:rPr>
        <w:t xml:space="preserve">Key risk: </w:t>
      </w:r>
      <w:r>
        <w:rPr>
          <w:rFonts w:ascii="Calibri" w:hAnsi="Calibri"/>
          <w:color w:val="525866"/>
          <w:sz w:val="22"/>
        </w:rPr>
        <w:t>The stock is trading at ~$56, implying the market is pricing in meaningful deal probability at a price well above the reported $60.50 bid (which the board has reportedly rejected). If the deal fails to materialize or no higher bid emerges, the stock could retrace significantly toward pre-bid levels (~$47). Management is unlikely to comment substantively on M&amp;A during the earnings call, but the question will dominate the Q&amp;A.</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The most notable development is CFO Jamie Miller's open-market purchase of 6,129 shares on June 15 — a discretionary buy at ~$42–43/share that signals conviction in the stock at levels well below the current price. All other transactions are 10b5-1 planned sales, which are pre-scheduled and carry no incremental signal.</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Miller, Jamie S.</w:t>
            </w:r>
          </w:p>
        </w:tc>
        <w:tc>
          <w:tcPr>
            <w:tcW w:type="dxa" w:w="1440"/>
          </w:tcPr>
          <w:p>
            <w:r>
              <w:rPr>
                <w:rFonts w:ascii="Calibri" w:hAnsi="Calibri"/>
                <w:sz w:val="22"/>
              </w:rPr>
              <w:t>Chief Financial &amp; Operating Officer</w:t>
            </w:r>
          </w:p>
        </w:tc>
        <w:tc>
          <w:tcPr>
            <w:tcW w:type="dxa" w:w="1440"/>
          </w:tcPr>
          <w:p>
            <w:r>
              <w:rPr>
                <w:rFonts w:ascii="Calibri" w:hAnsi="Calibri"/>
                <w:b/>
                <w:color w:val="30A46C"/>
                <w:sz w:val="22"/>
              </w:rPr>
              <w:t>Open Market Buy</w:t>
            </w:r>
          </w:p>
        </w:tc>
        <w:tc>
          <w:tcPr>
            <w:tcW w:type="dxa" w:w="1440"/>
          </w:tcPr>
          <w:p>
            <w:r>
              <w:rPr>
                <w:rFonts w:ascii="Calibri" w:hAnsi="Calibri"/>
                <w:sz w:val="22"/>
              </w:rPr>
              <w:t>6,129 shares</w:t>
            </w:r>
          </w:p>
        </w:tc>
        <w:tc>
          <w:tcPr>
            <w:tcW w:type="dxa" w:w="1440"/>
          </w:tcPr>
          <w:p>
            <w:r>
              <w:rPr>
                <w:rFonts w:ascii="Calibri" w:hAnsi="Calibri"/>
                <w:sz w:val="22"/>
              </w:rPr>
              <w:t>June 15, 2026</w:t>
            </w:r>
          </w:p>
        </w:tc>
        <w:tc>
          <w:tcPr>
            <w:tcW w:type="dxa" w:w="1440"/>
          </w:tcPr>
          <w:p>
            <w:r>
              <w:rPr>
                <w:rFonts w:ascii="Calibri" w:hAnsi="Calibri"/>
                <w:sz w:val="22"/>
              </w:rPr>
              <w:t>Discretionary purchase; no 10b5-1 plan. Bought at ~$42–43/share (well below current ~$56). Bullish signal from the CFO.</w:t>
            </w:r>
          </w:p>
        </w:tc>
      </w:tr>
      <w:tr>
        <w:tc>
          <w:tcPr>
            <w:tcW w:type="dxa" w:w="1440"/>
          </w:tcPr>
          <w:p>
            <w:r>
              <w:rPr>
                <w:rFonts w:ascii="Calibri" w:hAnsi="Calibri"/>
                <w:sz w:val="22"/>
              </w:rPr>
              <w:t>Keller, Frank</w:t>
            </w:r>
          </w:p>
        </w:tc>
        <w:tc>
          <w:tcPr>
            <w:tcW w:type="dxa" w:w="1440"/>
          </w:tcPr>
          <w:p>
            <w:r>
              <w:rPr>
                <w:rFonts w:ascii="Calibri" w:hAnsi="Calibri"/>
                <w:sz w:val="22"/>
              </w:rPr>
              <w:t>President, Checkout Solutions &amp; PayPal</w:t>
            </w:r>
          </w:p>
        </w:tc>
        <w:tc>
          <w:tcPr>
            <w:tcW w:type="dxa" w:w="1440"/>
          </w:tcPr>
          <w:p>
            <w:r>
              <w:rPr>
                <w:rFonts w:ascii="Calibri" w:hAnsi="Calibri"/>
                <w:sz w:val="22"/>
              </w:rPr>
              <w:t>10b5-1 Planned Sale</w:t>
            </w:r>
          </w:p>
        </w:tc>
        <w:tc>
          <w:tcPr>
            <w:tcW w:type="dxa" w:w="1440"/>
          </w:tcPr>
          <w:p>
            <w:r>
              <w:rPr>
                <w:rFonts w:ascii="Calibri" w:hAnsi="Calibri"/>
                <w:sz w:val="22"/>
              </w:rPr>
              <w:t>4,612 shares</w:t>
            </w:r>
          </w:p>
        </w:tc>
        <w:tc>
          <w:tcPr>
            <w:tcW w:type="dxa" w:w="1440"/>
          </w:tcPr>
          <w:p>
            <w:r>
              <w:rPr>
                <w:rFonts w:ascii="Calibri" w:hAnsi="Calibri"/>
                <w:sz w:val="22"/>
              </w:rPr>
              <w:t>June 3, 2026</w:t>
            </w:r>
          </w:p>
        </w:tc>
        <w:tc>
          <w:tcPr>
            <w:tcW w:type="dxa" w:w="1440"/>
          </w:tcPr>
          <w:p>
            <w:r>
              <w:rPr>
                <w:rFonts w:ascii="Calibri" w:hAnsi="Calibri"/>
                <w:sz w:val="22"/>
              </w:rPr>
              <w:t>Pre-scheduled 10b5-1 plan; routine, no incremental signal.</w:t>
            </w:r>
          </w:p>
        </w:tc>
      </w:tr>
      <w:tr>
        <w:tc>
          <w:tcPr>
            <w:tcW w:type="dxa" w:w="1440"/>
          </w:tcPr>
          <w:p>
            <w:r>
              <w:rPr>
                <w:rFonts w:ascii="Calibri" w:hAnsi="Calibri"/>
                <w:sz w:val="22"/>
              </w:rPr>
              <w:t>Kereere, Suzan</w:t>
            </w:r>
          </w:p>
        </w:tc>
        <w:tc>
          <w:tcPr>
            <w:tcW w:type="dxa" w:w="1440"/>
          </w:tcPr>
          <w:p>
            <w:r>
              <w:rPr>
                <w:rFonts w:ascii="Calibri" w:hAnsi="Calibri"/>
                <w:sz w:val="22"/>
              </w:rPr>
              <w:t>President, Global Markets</w:t>
            </w:r>
          </w:p>
        </w:tc>
        <w:tc>
          <w:tcPr>
            <w:tcW w:type="dxa" w:w="1440"/>
          </w:tcPr>
          <w:p>
            <w:r>
              <w:rPr>
                <w:rFonts w:ascii="Calibri" w:hAnsi="Calibri"/>
                <w:sz w:val="22"/>
              </w:rPr>
              <w:t>10b5-1 Planned Sale</w:t>
            </w:r>
          </w:p>
        </w:tc>
        <w:tc>
          <w:tcPr>
            <w:tcW w:type="dxa" w:w="1440"/>
          </w:tcPr>
          <w:p>
            <w:r>
              <w:rPr>
                <w:rFonts w:ascii="Calibri" w:hAnsi="Calibri"/>
                <w:sz w:val="22"/>
              </w:rPr>
              <w:t>3,379 shares</w:t>
            </w:r>
          </w:p>
        </w:tc>
        <w:tc>
          <w:tcPr>
            <w:tcW w:type="dxa" w:w="1440"/>
          </w:tcPr>
          <w:p>
            <w:r>
              <w:rPr>
                <w:rFonts w:ascii="Calibri" w:hAnsi="Calibri"/>
                <w:sz w:val="22"/>
              </w:rPr>
              <w:t>June 3, 2026</w:t>
            </w:r>
          </w:p>
        </w:tc>
        <w:tc>
          <w:tcPr>
            <w:tcW w:type="dxa" w:w="1440"/>
          </w:tcPr>
          <w:p>
            <w:r>
              <w:rPr>
                <w:rFonts w:ascii="Calibri" w:hAnsi="Calibri"/>
                <w:sz w:val="22"/>
              </w:rPr>
              <w:t>Pre-scheduled 10b5-1 plan; routine, no incremental signal.</w:t>
            </w:r>
          </w:p>
        </w:tc>
      </w:tr>
      <w:tr>
        <w:tc>
          <w:tcPr>
            <w:tcW w:type="dxa" w:w="1440"/>
          </w:tcPr>
          <w:p>
            <w:r>
              <w:rPr>
                <w:rFonts w:ascii="Calibri" w:hAnsi="Calibri"/>
                <w:sz w:val="22"/>
              </w:rPr>
              <w:t>Natali, Chris</w:t>
            </w:r>
          </w:p>
        </w:tc>
        <w:tc>
          <w:tcPr>
            <w:tcW w:type="dxa" w:w="1440"/>
          </w:tcPr>
          <w:p>
            <w:r>
              <w:rPr>
                <w:rFonts w:ascii="Calibri" w:hAnsi="Calibri"/>
                <w:sz w:val="22"/>
              </w:rPr>
              <w:t>SVP, Chief Accounting Officer</w:t>
            </w:r>
          </w:p>
        </w:tc>
        <w:tc>
          <w:tcPr>
            <w:tcW w:type="dxa" w:w="1440"/>
          </w:tcPr>
          <w:p>
            <w:r>
              <w:rPr>
                <w:rFonts w:ascii="Calibri" w:hAnsi="Calibri"/>
                <w:sz w:val="22"/>
              </w:rPr>
              <w:t>10b5-1 Planned Sale</w:t>
            </w:r>
          </w:p>
        </w:tc>
        <w:tc>
          <w:tcPr>
            <w:tcW w:type="dxa" w:w="1440"/>
          </w:tcPr>
          <w:p>
            <w:r>
              <w:rPr>
                <w:rFonts w:ascii="Calibri" w:hAnsi="Calibri"/>
                <w:sz w:val="22"/>
              </w:rPr>
              <w:t>552 shares</w:t>
            </w:r>
          </w:p>
        </w:tc>
        <w:tc>
          <w:tcPr>
            <w:tcW w:type="dxa" w:w="1440"/>
          </w:tcPr>
          <w:p>
            <w:r>
              <w:rPr>
                <w:rFonts w:ascii="Calibri" w:hAnsi="Calibri"/>
                <w:sz w:val="22"/>
              </w:rPr>
              <w:t>June 3, 2026</w:t>
            </w:r>
          </w:p>
        </w:tc>
        <w:tc>
          <w:tcPr>
            <w:tcW w:type="dxa" w:w="1440"/>
          </w:tcPr>
          <w:p>
            <w:r>
              <w:rPr>
                <w:rFonts w:ascii="Calibri" w:hAnsi="Calibri"/>
                <w:sz w:val="22"/>
              </w:rPr>
              <w:t>Pre-scheduled 10b5-1 plan; routine, no incremental signal.</w:t>
            </w:r>
          </w:p>
        </w:tc>
      </w:tr>
      <w:tr>
        <w:tc>
          <w:tcPr>
            <w:tcW w:type="dxa" w:w="1440"/>
          </w:tcPr>
          <w:p>
            <w:r>
              <w:rPr>
                <w:rFonts w:ascii="Calibri" w:hAnsi="Calibri"/>
                <w:sz w:val="22"/>
              </w:rPr>
              <w:t>Kereere, Suzan</w:t>
            </w:r>
          </w:p>
        </w:tc>
        <w:tc>
          <w:tcPr>
            <w:tcW w:type="dxa" w:w="1440"/>
          </w:tcPr>
          <w:p>
            <w:r>
              <w:rPr>
                <w:rFonts w:ascii="Calibri" w:hAnsi="Calibri"/>
                <w:sz w:val="22"/>
              </w:rPr>
              <w:t>President, Global Markets</w:t>
            </w:r>
          </w:p>
        </w:tc>
        <w:tc>
          <w:tcPr>
            <w:tcW w:type="dxa" w:w="1440"/>
          </w:tcPr>
          <w:p>
            <w:r>
              <w:rPr>
                <w:rFonts w:ascii="Calibri" w:hAnsi="Calibri"/>
                <w:sz w:val="22"/>
              </w:rPr>
              <w:t>10b5-1 Planned Sale</w:t>
            </w:r>
          </w:p>
        </w:tc>
        <w:tc>
          <w:tcPr>
            <w:tcW w:type="dxa" w:w="1440"/>
          </w:tcPr>
          <w:p>
            <w:r>
              <w:rPr>
                <w:rFonts w:ascii="Calibri" w:hAnsi="Calibri"/>
                <w:sz w:val="22"/>
              </w:rPr>
              <w:t>4,162 shares</w:t>
            </w:r>
          </w:p>
        </w:tc>
        <w:tc>
          <w:tcPr>
            <w:tcW w:type="dxa" w:w="1440"/>
          </w:tcPr>
          <w:p>
            <w:r>
              <w:rPr>
                <w:rFonts w:ascii="Calibri" w:hAnsi="Calibri"/>
                <w:sz w:val="22"/>
              </w:rPr>
              <w:t>May 19, 2026</w:t>
            </w:r>
          </w:p>
        </w:tc>
        <w:tc>
          <w:tcPr>
            <w:tcW w:type="dxa" w:w="1440"/>
          </w:tcPr>
          <w:p>
            <w:r>
              <w:rPr>
                <w:rFonts w:ascii="Calibri" w:hAnsi="Calibri"/>
                <w:sz w:val="22"/>
              </w:rPr>
              <w:t>Pre-scheduled 10b5-1 plan; routine, no incremental signal.</w:t>
            </w:r>
          </w:p>
        </w:tc>
      </w:tr>
    </w:tbl>
    <w:p>
      <w:r>
        <w:rPr>
          <w:rFonts w:ascii="Calibri" w:hAnsi="Calibri"/>
          <w:b/>
          <w:color w:val="525866"/>
          <w:sz w:val="22"/>
        </w:rPr>
        <w:t xml:space="preserve">Source: </w:t>
      </w:r>
      <w:r>
        <w:rPr>
          <w:rFonts w:ascii="Calibri" w:hAnsi="Calibri"/>
          <w:color w:val="525866"/>
          <w:sz w:val="22"/>
        </w:rPr>
        <w:t>SEC Form 4 Filings Database (filing date window: May 5 – July 27, 2026). Open-market buys and sells only (Form 4 codes P/S) plus 10b5-1 plan disclosures. One row per person per transaction.</w:t>
      </w:r>
    </w:p>
    <w:p>
      <w:r>
        <w:rPr>
          <w:rFonts w:ascii="Calibri" w:hAnsi="Calibri"/>
          <w:b/>
          <w:color w:val="525866"/>
          <w:sz w:val="22"/>
        </w:rPr>
        <w:t xml:space="preserve">Analysis: </w:t>
      </w:r>
      <w:r>
        <w:rPr>
          <w:rFonts w:ascii="Calibri" w:hAnsi="Calibri"/>
          <w:color w:val="525866"/>
          <w:sz w:val="22"/>
        </w:rPr>
        <w:t>CFO Miller's open-market purchase of 6,129 shares on June 15 is the standout transaction — it is a discretionary buy (no 10b5-1 plan) executed at approximately $42–43/share, which is ~25–30% below the current stock price of ~$56. This is a meaningful signal of insider conviction at a time when the stock was near multi-year lows and before the M&amp;A bid was reported. The cluster of 10b5-1 planned sales on June 3 (Keller, Kereere, Natali) are pre-scheduled and obligation-driven; they carry no negative signal. No CEO (Lores) transactions were filed in the period, which is expected given he joined in March 2026 and is likely in a blackout or pre-clearance period.</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