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3db87c7d912ce074597134e051fb0eb5d209c56"/>
    <w:p>
      <w:pPr>
        <w:pStyle w:val="Heading1"/>
      </w:pPr>
      <w:r>
        <w:t xml:space="preserve">Qualcomm (QCOM) Earnings Preview — FQ3 2026 (Reports Wednesday, July 29, 2026, After Market Close)</w:t>
      </w:r>
    </w:p>
    <w:bookmarkStart w:id="9" w:name="the-setup"/>
    <w:p>
      <w:pPr>
        <w:pStyle w:val="Heading2"/>
      </w:pPr>
      <w:r>
        <w:t xml:space="preserve">The Setup</w:t>
      </w:r>
    </w:p>
    <w:p>
      <w:pPr>
        <w:pStyle w:val="FirstParagraph"/>
      </w:pPr>
      <w:r>
        <w:t xml:space="preserve">Qualcomm reports fiscal third-quarter 2026 results tomorrow after the bell, capping one of the more volatile stretches in the stock's recent history. Shares roughly doubled from ~$127 in late April to an intraday peak near $251 in late May — fueled by the April 29 beat-and-raise report and mounting anticipation of AI data-center news — before round-tripping back down into the</w:t>
      </w:r>
      <w:r>
        <w:t xml:space="preserve"> </w:t>
      </w:r>
      <m:oMath>
        <m:r>
          <m:t>160</m:t>
        </m:r>
        <m:r>
          <m:t>s</m:t>
        </m:r>
        <m:r>
          <m:rPr>
            <m:sty m:val="p"/>
          </m:rPr>
          <m:t>−</m:t>
        </m:r>
      </m:oMath>
      <w:r>
        <w:t xml:space="preserve">170s amid a broader semiconductor/AI selloff (memory-stock routs, China lithography competitive fears hitting ASML, and general "AI capex" anxiety). Heading into the print, QCOM stock has declined 10% over the past month and is flat year-to-date, and the semiconductor industry has faced significant pressure recently, with sector stocks declining an average of 17.1% over the past month, though Qualcomm's 9.9% pullback during this timeframe actually outperforms the broader group.</w:t>
      </w:r>
    </w:p>
    <w:p>
      <w:pPr>
        <w:pStyle w:val="BodyText"/>
      </w:pPr>
      <w:r>
        <w:t xml:space="preserve">Options markets are bracing for a big move: the derivatives market signals expectations for significant movement, with implied volatility for QCOM following the report standing at 9.34% bidirectionally, exceeding the company's typical post-earnings swing of 8.74% averaged across the previous four quarters.</w:t>
      </w:r>
    </w:p>
    <w:bookmarkEnd w:id="9"/>
    <w:bookmarkStart w:id="10" w:name="what-wall-street-expects"/>
    <w:p>
      <w:pPr>
        <w:pStyle w:val="Heading2"/>
      </w:pPr>
      <w:r>
        <w:t xml:space="preserve">What Wall Street Expects</w:t>
      </w:r>
    </w:p>
    <w:p>
      <w:pPr>
        <w:pStyle w:val="FirstParagraph"/>
      </w:pPr>
      <w:r>
        <w:t xml:space="preserve">Qualcomm's own guidance, issued alongside its Q2 print, calls for:</w:t>
      </w:r>
      <w:r>
        <w:t xml:space="preserve"> </w:t>
      </w:r>
      <w:r>
        <w:t xml:space="preserve">revenue of $9.2 billion to $10 billion and non-GAAP EPS of $2.10 to $2.30, with QCT revenue of $7.9–8.5 billion and QTL revenue of $1.15–1.35 billion.</w:t>
      </w:r>
    </w:p>
    <w:p>
      <w:pPr>
        <w:pStyle w:val="BodyText"/>
      </w:pPr>
      <w:r>
        <w:t xml:space="preserve">Street consensus sits toward the lower-middle of that range: the consensus for $2.23 per share represents a decline of 19.5% versus the $2.77 reported in the year-ago quarter, while the revenue forecast of $9.68 billion marks a 6.6% decrease from last year's $10.36 billion. Notably, analyst sentiment has soured over the past three months, with EPS estimates drifting down 8.6% from $2.44 just 90 days ago to the current $2.23 consensus, though the estimate has held flat over the past 30 days — suggesting the downward revision cycle has largely stabilized. Zacks pegs consensus similarly at $9.71 billion and $2.22 per share, respectively, while full-year FY26 estimates have actually ticked up slightly to $10.78.</w:t>
      </w:r>
    </w:p>
    <w:p>
      <w:pPr>
        <w:pStyle w:val="BodyText"/>
      </w:pPr>
      <w:r>
        <w:t xml:space="preserve">Qualcomm has a strong beat history: the chip manufacturer delivered a trailing four-quarter earnings surprise of 3.28%, on average, beating estimates on each occasion, and prediction markets reflect that pattern — Polymarket currently assigns a 90.5% probability that QCOM beats consensus, which makes sense considering the company has delivered four consecutive EPS beats ahead of this week's results.</w:t>
      </w:r>
    </w:p>
    <w:bookmarkEnd w:id="10"/>
    <w:bookmarkStart w:id="11" w:name="X48f571ad27f151b786252ff4bbf63cd62485a40"/>
    <w:p>
      <w:pPr>
        <w:pStyle w:val="Heading2"/>
      </w:pPr>
      <w:r>
        <w:t xml:space="preserve">The Big Overhang: Memory-Driven Handset Weakness</w:t>
      </w:r>
    </w:p>
    <w:p>
      <w:pPr>
        <w:pStyle w:val="FirstParagraph"/>
      </w:pPr>
      <w:r>
        <w:t xml:space="preserve">The central near-term narrative is the memory cost/supply squeeze rippling through the smartphone supply chain. On the April call, management explained that rising AI data-center memory demand pushed up DRAM/NAND pricing, causing Chinese handset OEMs to cut build plans and draw down channel inventory rather than reflecting weak end-consumer demand. CFO Akash Palkhiwala was explicit that Qualcomm has been "significantly undershipping" true consumer demand in China for two straight quarters, and management's call is that this bottoms in fiscal Q3 with a return to sequential growth in fiscal Q4 — a thesis investors will stress-test tomorrow. As one preview summarized: Qualcomm expects QCT handset revenue from Chinese customers to reach a bottom in Q3 and return to sequential growth in Q4, having shipped materially below end-consumer demand as Chinese OEMs reduce production and draw down channel inventory amid higher memory prices.</w:t>
      </w:r>
    </w:p>
    <w:p>
      <w:pPr>
        <w:pStyle w:val="BodyText"/>
      </w:pPr>
      <w:r>
        <w:t xml:space="preserve">Adding a fresh wrinkle just before the print, Qualcomm itself is reportedly moving to raise prices — Bloomberg reported the company is planning double-digit price increases on chips, the latest sign of inflationary pressure spreading through the tech supply chain, which could be a modest offset to unit softness but also raises questions about downstream OEM pushback and margin dynamics.</w:t>
      </w:r>
    </w:p>
    <w:p>
      <w:pPr>
        <w:pStyle w:val="BodyText"/>
      </w:pPr>
      <w:r>
        <w:t xml:space="preserve">Layered on top is the well-flagged Apple dynamic: management reiterated on the Q2 call that its</w:t>
      </w:r>
      <w:r>
        <w:t xml:space="preserve"> </w:t>
      </w:r>
      <w:r>
        <w:rPr>
          <w:b/>
          <w:bCs/>
        </w:rPr>
        <w:t xml:space="preserve">modem share assumption for iPhones launching this fall is 20%, with no assumed relationship beyond that generation</w:t>
      </w:r>
      <w:r>
        <w:t xml:space="preserve"> </w:t>
      </w:r>
      <w:r>
        <w:t xml:space="preserve">— a step-down that will weigh on the September-quarter (fiscal Q4) comparison even as China Android is expected to recover. Cantor's C.J. Muse frames the read-through this way: he expects QCOM to surpass the Street's expectation for Q3 FY26 and issue slightly better-than-anticipated guidance for the September quarter, believing Q3 FY26 would be the low point for China Android business, with calendar-year 2026 handset revenue estimated to decline 22% to $21.9 billion, while flagging that 2027 estimates may still see modest downward revisions.</w:t>
      </w:r>
    </w:p>
    <w:bookmarkEnd w:id="11"/>
    <w:bookmarkStart w:id="12" w:name="X7c07847812da08bd4ce79569f175bced42c13c3"/>
    <w:p>
      <w:pPr>
        <w:pStyle w:val="Heading2"/>
      </w:pPr>
      <w:r>
        <w:t xml:space="preserve">Diversification Is Working — Automotive Is the Standout</w:t>
      </w:r>
    </w:p>
    <w:p>
      <w:pPr>
        <w:pStyle w:val="FirstParagraph"/>
      </w:pPr>
      <w:r>
        <w:t xml:space="preserve">The clearest bright spot remains automotive. Last quarter, QCT Automotive posted a record $1.326 billion in revenue, up 38% year-over-year, and combined Automotive/IoT revenue grew 20%. For fiscal Q3, management guided automotive growth to</w:t>
      </w:r>
      <w:r>
        <w:t xml:space="preserve"> </w:t>
      </w:r>
      <w:r>
        <w:rPr>
          <w:b/>
          <w:bCs/>
        </w:rPr>
        <w:t xml:space="preserve">accelerate to roughly 50% year-over-year</w:t>
      </w:r>
      <w:r>
        <w:t xml:space="preserve"> </w:t>
      </w:r>
      <w:r>
        <w:t xml:space="preserve">— implying close to $1.5 billion in the quarter, as noted by one preview: Automotive remains Qualcomm's strongest near-term growth engine, with revenue reaching a record</w:t>
      </w:r>
      <w:r>
        <w:t xml:space="preserve"> </w:t>
      </w:r>
      <m:oMath>
        <m:r>
          <m:t>1.33</m:t>
        </m:r>
        <m:r>
          <m:t>b</m:t>
        </m:r>
        <m:r>
          <m:t>i</m:t>
        </m:r>
        <m:r>
          <m:t>l</m:t>
        </m:r>
        <m:r>
          <m:t>l</m:t>
        </m:r>
        <m:r>
          <m:t>i</m:t>
        </m:r>
        <m:r>
          <m:t>o</m:t>
        </m:r>
        <m:r>
          <m:t>n</m:t>
        </m:r>
        <m:r>
          <m:t>i</m:t>
        </m:r>
        <m:r>
          <m:t>n</m:t>
        </m:r>
        <m:r>
          <m:t>Q</m:t>
        </m:r>
        <m:r>
          <m:t>2</m:t>
        </m:r>
        <m:r>
          <m:rPr>
            <m:sty m:val="p"/>
          </m:rPr>
          <m:t>,</m:t>
        </m:r>
        <m:r>
          <m:t>u</m:t>
        </m:r>
        <m:r>
          <m:t>p</m:t>
        </m:r>
        <m:r>
          <m:t>38</m:t>
        </m:r>
      </m:oMath>
      <w:r>
        <w:t xml:space="preserve">65 billion automotive design-win pipeline** and said it would exit fiscal 2026 at a</w:t>
      </w:r>
      <w:r>
        <w:t xml:space="preserve"> </w:t>
      </w:r>
      <w:r>
        <w:rPr>
          <w:b/>
          <w:bCs/>
        </w:rPr>
        <w:t xml:space="preserve">&gt;$6 billion annualized automotive run rate</w:t>
      </w:r>
      <w:r>
        <w:t xml:space="preserve">, driven by the transition to its fifth-generation Snapdragon Digital Chassis (8x content uplift vs. Gen 3) and expanding ADAS engagements (BMW, Stellantis, Bosch, Wayve).</w:t>
      </w:r>
    </w:p>
    <w:p>
      <w:pPr>
        <w:pStyle w:val="BodyText"/>
      </w:pPr>
      <w:r>
        <w:t xml:space="preserve">IoT is also holding up, guided to high-single-digit year-over-year growth, driven by industrial/consumer demand and early traction in physical AI/robotics (Dragonwing IQ10, Arduino, partnerships with Figure AI and NEURA).</w:t>
      </w:r>
    </w:p>
    <w:bookmarkEnd w:id="12"/>
    <w:bookmarkStart w:id="13" w:name="the-wildcard-data-center--ai-ambitions"/>
    <w:p>
      <w:pPr>
        <w:pStyle w:val="Heading2"/>
      </w:pPr>
      <w:r>
        <w:t xml:space="preserve">The Wildcard: Data Center / AI Ambitions</w:t>
      </w:r>
    </w:p>
    <w:p>
      <w:pPr>
        <w:pStyle w:val="FirstParagraph"/>
      </w:pPr>
      <w:r>
        <w:t xml:space="preserve">The most consequential story for the multi-year re-rating case is Qualcomm's data-center push, which the market will scrutinize for incremental proof points even though it's not yet a meaningful contributor to reported revenue. At the June 24 Investor Day, Qualcomm unveiled its "Dragonfly" data-center platform built around a novel high-bandwidth-compute (HBC) memory architecture designed to sidestep the HBM bottleneck, alongside a</w:t>
      </w:r>
      <w:r>
        <w:t xml:space="preserve"> </w:t>
      </w:r>
      <m:oMath>
        <m:r>
          <m:t>1.7</m:t>
        </m:r>
        <m:r>
          <m:t>b</m:t>
        </m:r>
        <m:r>
          <m:t>i</m:t>
        </m:r>
        <m:r>
          <m:t>l</m:t>
        </m:r>
        <m:r>
          <m:t>l</m:t>
        </m:r>
        <m:r>
          <m:t>i</m:t>
        </m:r>
        <m:r>
          <m:t>o</m:t>
        </m:r>
        <m:r>
          <m:t>n</m:t>
        </m:r>
        <m:r>
          <m:t>a</m:t>
        </m:r>
        <m:r>
          <m:t>c</m:t>
        </m:r>
        <m:r>
          <m:t>q</m:t>
        </m:r>
        <m:r>
          <m:t>u</m:t>
        </m:r>
        <m:r>
          <m:t>i</m:t>
        </m:r>
        <m:r>
          <m:t>s</m:t>
        </m:r>
        <m:r>
          <m:t>i</m:t>
        </m:r>
        <m:r>
          <m:t>t</m:t>
        </m:r>
        <m:r>
          <m:t>i</m:t>
        </m:r>
        <m:r>
          <m:t>o</m:t>
        </m:r>
        <m:r>
          <m:t>n</m:t>
        </m:r>
        <m:r>
          <m:t>o</m:t>
        </m:r>
        <m:r>
          <m:t>f</m:t>
        </m:r>
        <m:r>
          <m:t>A</m:t>
        </m:r>
        <m:r>
          <m:t>I</m:t>
        </m:r>
        <m:r>
          <m:rPr>
            <m:sty m:val="p"/>
          </m:rPr>
          <m:t>−</m:t>
        </m:r>
        <m:r>
          <m:t>s</m:t>
        </m:r>
        <m:r>
          <m:t>o</m:t>
        </m:r>
        <m:r>
          <m:t>f</m:t>
        </m:r>
        <m:r>
          <m:t>t</m:t>
        </m:r>
        <m:r>
          <m:t>w</m:t>
        </m:r>
        <m:r>
          <m:t>a</m:t>
        </m:r>
        <m:r>
          <m:t>r</m:t>
        </m:r>
        <m:r>
          <m:t>e</m:t>
        </m:r>
        <m:r>
          <m:t>c</m:t>
        </m:r>
        <m:r>
          <m:t>o</m:t>
        </m:r>
        <m:r>
          <m:t>m</m:t>
        </m:r>
        <m:r>
          <m:t>p</m:t>
        </m:r>
        <m:r>
          <m:t>a</m:t>
        </m:r>
        <m:r>
          <m:t>n</m:t>
        </m:r>
        <m:r>
          <m:t>y</m:t>
        </m:r>
        <m:r>
          <m:t>M</m:t>
        </m:r>
        <m:r>
          <m:t>o</m:t>
        </m:r>
        <m:r>
          <m:t>d</m:t>
        </m:r>
        <m:r>
          <m:t>u</m:t>
        </m:r>
        <m:r>
          <m:t>l</m:t>
        </m:r>
        <m:r>
          <m:t>a</m:t>
        </m:r>
        <m:r>
          <m:t>r</m:t>
        </m:r>
        <m:r>
          <m:t>a</m:t>
        </m:r>
        <m:r>
          <m:t>n</m:t>
        </m:r>
        <m:r>
          <m:t>d</m:t>
        </m:r>
        <m:r>
          <m:t>a</m:t>
        </m:r>
        <m:r>
          <m:t>p</m:t>
        </m:r>
        <m:r>
          <m:t>a</m:t>
        </m:r>
        <m:r>
          <m:t>r</m:t>
        </m:r>
        <m:r>
          <m:t>t</m:t>
        </m:r>
        <m:r>
          <m:t>n</m:t>
        </m:r>
        <m:r>
          <m:t>e</m:t>
        </m:r>
        <m:r>
          <m:t>r</m:t>
        </m:r>
        <m:r>
          <m:t>s</m:t>
        </m:r>
        <m:r>
          <m:t>h</m:t>
        </m:r>
        <m:r>
          <m:t>i</m:t>
        </m:r>
        <m:r>
          <m:t>p</m:t>
        </m:r>
        <m:r>
          <m:t>w</m:t>
        </m:r>
        <m:r>
          <m:t>i</m:t>
        </m:r>
        <m:r>
          <m:t>t</m:t>
        </m:r>
        <m:r>
          <m:t>h</m:t>
        </m:r>
        <m:r>
          <m:t>H</m:t>
        </m:r>
        <m:r>
          <m:t>u</m:t>
        </m:r>
        <m:r>
          <m:t>g</m:t>
        </m:r>
        <m:r>
          <m:t>g</m:t>
        </m:r>
        <m:r>
          <m:t>i</m:t>
        </m:r>
        <m:r>
          <m:t>n</m:t>
        </m:r>
        <m:r>
          <m:t>g</m:t>
        </m:r>
        <m:r>
          <m:t>F</m:t>
        </m:r>
        <m:r>
          <m:t>a</m:t>
        </m:r>
        <m:r>
          <m:t>c</m:t>
        </m:r>
        <m:r>
          <m:t>e</m:t>
        </m:r>
        <m:r>
          <m:rPr>
            <m:sty m:val="p"/>
          </m:rPr>
          <m:t>.</m:t>
        </m:r>
        <m:r>
          <m:t>M</m:t>
        </m:r>
        <m:r>
          <m:t>a</m:t>
        </m:r>
        <m:r>
          <m:t>n</m:t>
        </m:r>
        <m:r>
          <m:t>a</m:t>
        </m:r>
        <m:r>
          <m:t>g</m:t>
        </m:r>
        <m:r>
          <m:t>e</m:t>
        </m:r>
        <m:r>
          <m:t>m</m:t>
        </m:r>
        <m:r>
          <m:t>e</m:t>
        </m:r>
        <m:r>
          <m:t>n</m:t>
        </m:r>
        <m:r>
          <m:t>t</m:t>
        </m:r>
        <m:r>
          <m:t>r</m:t>
        </m:r>
        <m:r>
          <m:t>a</m:t>
        </m:r>
        <m:r>
          <m:t>i</m:t>
        </m:r>
        <m:r>
          <m:t>s</m:t>
        </m:r>
        <m:r>
          <m:t>e</m:t>
        </m:r>
        <m:r>
          <m:t>d</m:t>
        </m:r>
        <m:r>
          <m:t>i</m:t>
        </m:r>
        <m:r>
          <m:t>t</m:t>
        </m:r>
        <m:r>
          <m:t>s</m:t>
        </m:r>
        <m:r>
          <m:t>n</m:t>
        </m:r>
        <m:r>
          <m:t>o</m:t>
        </m:r>
        <m:r>
          <m:t>n</m:t>
        </m:r>
        <m:r>
          <m:rPr>
            <m:sty m:val="p"/>
          </m:rPr>
          <m:t>−</m:t>
        </m:r>
        <m:r>
          <m:t>h</m:t>
        </m:r>
        <m:r>
          <m:t>a</m:t>
        </m:r>
        <m:r>
          <m:t>n</m:t>
        </m:r>
        <m:r>
          <m:t>d</m:t>
        </m:r>
        <m:r>
          <m:t>s</m:t>
        </m:r>
        <m:r>
          <m:t>e</m:t>
        </m:r>
        <m:r>
          <m:t>t</m:t>
        </m:r>
        <m:r>
          <m:rPr>
            <m:sty m:val="p"/>
          </m:rPr>
          <m:t>(</m:t>
        </m:r>
        <m:r>
          <m:t>A</m:t>
        </m:r>
        <m:r>
          <m:t>u</m:t>
        </m:r>
        <m:r>
          <m:t>t</m:t>
        </m:r>
        <m:r>
          <m:t>o</m:t>
        </m:r>
        <m:r>
          <m:rPr>
            <m:sty m:val="p"/>
          </m:rPr>
          <m:t>+</m:t>
        </m:r>
        <m:r>
          <m:t>I</m:t>
        </m:r>
        <m:r>
          <m:t>o</m:t>
        </m:r>
        <m:r>
          <m:t>T</m:t>
        </m:r>
        <m:r>
          <m:rPr>
            <m:sty m:val="p"/>
          </m:rPr>
          <m:t>)</m:t>
        </m:r>
        <m:r>
          <m:t>r</m:t>
        </m:r>
        <m:r>
          <m:t>e</m:t>
        </m:r>
        <m:r>
          <m:t>v</m:t>
        </m:r>
        <m:r>
          <m:t>e</m:t>
        </m:r>
        <m:r>
          <m:t>n</m:t>
        </m:r>
        <m:r>
          <m:t>u</m:t>
        </m:r>
        <m:r>
          <m:t>e</m:t>
        </m:r>
        <m:r>
          <m:t>t</m:t>
        </m:r>
        <m:r>
          <m:t>a</m:t>
        </m:r>
        <m:r>
          <m:t>r</m:t>
        </m:r>
        <m:r>
          <m:t>g</m:t>
        </m:r>
        <m:r>
          <m:t>e</m:t>
        </m:r>
        <m:r>
          <m:t>t</m:t>
        </m:r>
        <m:r>
          <m:t>f</m:t>
        </m:r>
        <m:r>
          <m:t>o</m:t>
        </m:r>
        <m:r>
          <m:t>r</m:t>
        </m:r>
        <m:r>
          <m:t>f</m:t>
        </m:r>
        <m:r>
          <m:t>i</m:t>
        </m:r>
        <m:r>
          <m:t>s</m:t>
        </m:r>
        <m:r>
          <m:t>c</m:t>
        </m:r>
        <m:r>
          <m:t>a</m:t>
        </m:r>
        <m:r>
          <m:t>l</m:t>
        </m:r>
        <m:r>
          <m:t>2029</m:t>
        </m:r>
        <m:r>
          <m:t>t</m:t>
        </m:r>
        <m:r>
          <m:t>o</m:t>
        </m:r>
        <m:r>
          <m:rPr>
            <m:sty m:val="p"/>
          </m:rPr>
          <m:t>*</m:t>
        </m:r>
        <m:r>
          <m:rPr>
            <m:sty m:val="p"/>
          </m:rPr>
          <m:t>*</m:t>
        </m:r>
      </m:oMath>
      <w:r>
        <w:t xml:space="preserve">40 billion, nearly double the</w:t>
      </w:r>
      <w:r>
        <w:t xml:space="preserve"> </w:t>
      </w:r>
      <m:oMath>
        <m:r>
          <m:t>22</m:t>
        </m:r>
        <m:r>
          <m:t>b</m:t>
        </m:r>
        <m:r>
          <m:t>i</m:t>
        </m:r>
        <m:r>
          <m:t>l</m:t>
        </m:r>
        <m:r>
          <m:t>l</m:t>
        </m:r>
        <m:r>
          <m:t>i</m:t>
        </m:r>
        <m:r>
          <m:t>o</m:t>
        </m:r>
        <m:r>
          <m:t>n</m:t>
        </m:r>
        <m:r>
          <m:t>t</m:t>
        </m:r>
        <m:r>
          <m:t>a</m:t>
        </m:r>
        <m:r>
          <m:t>r</m:t>
        </m:r>
        <m:r>
          <m:t>g</m:t>
        </m:r>
        <m:r>
          <m:t>e</m:t>
        </m:r>
        <m:r>
          <m:t>t</m:t>
        </m:r>
        <m:r>
          <m:t>s</m:t>
        </m:r>
        <m:r>
          <m:t>e</m:t>
        </m:r>
        <m:r>
          <m:t>t</m:t>
        </m:r>
        <m:r>
          <m:t>18</m:t>
        </m:r>
        <m:r>
          <m:t>m</m:t>
        </m:r>
        <m:r>
          <m:t>o</m:t>
        </m:r>
        <m:r>
          <m:t>n</m:t>
        </m:r>
        <m:r>
          <m:t>t</m:t>
        </m:r>
        <m:r>
          <m:t>h</m:t>
        </m:r>
        <m:r>
          <m:t>s</m:t>
        </m:r>
        <m:r>
          <m:t>e</m:t>
        </m:r>
        <m:r>
          <m:t>a</m:t>
        </m:r>
        <m:r>
          <m:t>r</m:t>
        </m:r>
        <m:r>
          <m:t>l</m:t>
        </m:r>
        <m:r>
          <m:t>i</m:t>
        </m:r>
        <m:r>
          <m:t>e</m:t>
        </m:r>
        <m:r>
          <m:t>r</m:t>
        </m:r>
        <m:r>
          <m:rPr>
            <m:sty m:val="p"/>
          </m:rPr>
          <m:t>*</m:t>
        </m:r>
        <m:r>
          <m:rPr>
            <m:sty m:val="p"/>
          </m:rPr>
          <m:t>*</m:t>
        </m:r>
        <m:r>
          <m:rPr>
            <m:sty m:val="p"/>
          </m:rPr>
          <m:t>,</m:t>
        </m:r>
        <m:r>
          <m:t>a</m:t>
        </m:r>
        <m:r>
          <m:t>n</m:t>
        </m:r>
        <m:r>
          <m:t>d</m:t>
        </m:r>
        <m:r>
          <m:t>l</m:t>
        </m:r>
        <m:r>
          <m:t>a</m:t>
        </m:r>
        <m:r>
          <m:t>i</m:t>
        </m:r>
        <m:r>
          <m:t>d</m:t>
        </m:r>
        <m:r>
          <m:t>o</m:t>
        </m:r>
        <m:r>
          <m:t>u</m:t>
        </m:r>
        <m:r>
          <m:t>t</m:t>
        </m:r>
        <m:r>
          <m:t>f</m:t>
        </m:r>
        <m:r>
          <m:t>r</m:t>
        </m:r>
        <m:r>
          <m:t>e</m:t>
        </m:r>
        <m:r>
          <m:t>s</m:t>
        </m:r>
        <m:r>
          <m:t>h</m:t>
        </m:r>
        <m:r>
          <m:t>d</m:t>
        </m:r>
        <m:r>
          <m:t>a</m:t>
        </m:r>
        <m:r>
          <m:t>t</m:t>
        </m:r>
        <m:r>
          <m:t>a</m:t>
        </m:r>
        <m:r>
          <m:rPr>
            <m:sty m:val="p"/>
          </m:rPr>
          <m:t>−</m:t>
        </m:r>
        <m:r>
          <m:t>c</m:t>
        </m:r>
        <m:r>
          <m:t>e</m:t>
        </m:r>
        <m:r>
          <m:t>n</m:t>
        </m:r>
        <m:r>
          <m:t>t</m:t>
        </m:r>
        <m:r>
          <m:t>e</m:t>
        </m:r>
        <m:r>
          <m:t>r</m:t>
        </m:r>
        <m:r>
          <m:t>t</m:t>
        </m:r>
        <m:r>
          <m:t>a</m:t>
        </m:r>
        <m:r>
          <m:t>r</m:t>
        </m:r>
        <m:r>
          <m:t>g</m:t>
        </m:r>
        <m:r>
          <m:t>e</m:t>
        </m:r>
        <m:r>
          <m:t>t</m:t>
        </m:r>
        <m:r>
          <m:t>s</m:t>
        </m:r>
        <m:r>
          <m:t>o</m:t>
        </m:r>
        <m:r>
          <m:t>f</m:t>
        </m:r>
        <m:r>
          <m:rPr>
            <m:sty m:val="p"/>
          </m:rPr>
          <m:t>*</m:t>
        </m:r>
        <m:r>
          <m:rPr>
            <m:sty m:val="p"/>
          </m:rPr>
          <m:t>*</m:t>
        </m:r>
      </m:oMath>
      <w:r>
        <w:t xml:space="preserve">5 billion in fiscal 2027 revenue and $15 billion by fiscal 2029**, with custom-silicon shipments for a leading hyperscaler expected to begin in the December 2026 quarter (two hyperscaler engagements were disclosed, each targeted to be a $1B+ customer). Microsoft's Satya Nadella and Meta's Mark Zuckerberg appeared on video at the event to endorse partnerships (Azure deploying HBC; Meta committing to a multi-generation CPU supply agreement).</w:t>
      </w:r>
    </w:p>
    <w:p>
      <w:pPr>
        <w:pStyle w:val="BodyText"/>
      </w:pPr>
      <w:r>
        <w:t xml:space="preserve">Analysts see this as the key swing factor for sentiment tomorrow: Muse highlighted a potential growth catalyst in the company's recently launched DragonFly Data Center product line, and even bulls acknowledge the segment is "unlikely to materially affect Q3 results" — Qualcomm now targets more than $15 billion in fiscal 2029 data center revenue as it expands into custom silicon, server CPUs and AI inference accelerators, with initial custom silicon shipments for a leading hyperscaler expected in the December 2026 quarter. Investors will be listening for whether management names additional customers, reaffirms the shipment timeline, or offers more granularity on the ramp.</w:t>
      </w:r>
    </w:p>
    <w:bookmarkEnd w:id="13"/>
    <w:bookmarkStart w:id="14" w:name="X9e38b37e3dc91dabee7369dae435431df0c1004"/>
    <w:p>
      <w:pPr>
        <w:pStyle w:val="Heading2"/>
      </w:pPr>
      <w:r>
        <w:t xml:space="preserve">Guidance Will Matter More Than the Quarter Itself</w:t>
      </w:r>
    </w:p>
    <w:p>
      <w:pPr>
        <w:pStyle w:val="FirstParagraph"/>
      </w:pPr>
      <w:r>
        <w:t xml:space="preserve">Multiple sell-side voices argue the September-quarter (fiscal Q4) outlook is the real event. Acree expects QCOM's Q3 FY26 results to essentially meet expectations, with adjusted EPS of $2.23 on revenue of $9.675 billion, while thinking investors will focus more on QCOM's Q4 FY26 outlook than the fiscal third-quarter results — he expects Q4 FY26 EPS of $2.36 on revenue of $10.202 billion, compared to the Street's expectations of EPS of $2.37 on revenue of $10.035 billion. Cantor's Muse cut his price target from $220 to $200 — attributing this to the widespread semiconductor sector downdraft rather than Qualcomm's individual fundamentals — while maintaining a Hold and calling shares "somewhat undervalued" at roughly 16x his below-consensus CY27 EPS estimate.</w:t>
      </w:r>
    </w:p>
    <w:bookmarkEnd w:id="14"/>
    <w:bookmarkStart w:id="15" w:name="valuation-and-sentiment"/>
    <w:p>
      <w:pPr>
        <w:pStyle w:val="Heading2"/>
      </w:pPr>
      <w:r>
        <w:t xml:space="preserve">Valuation and Sentiment</w:t>
      </w:r>
    </w:p>
    <w:p>
      <w:pPr>
        <w:pStyle w:val="FirstParagraph"/>
      </w:pPr>
      <w:r>
        <w:t xml:space="preserve">Sentiment is broadly neutral-to-cautious, but valuation looks compelling to several observers heading into the print:</w:t>
      </w:r>
    </w:p>
    <w:p>
      <w:pPr>
        <w:pStyle w:val="Compact"/>
        <w:numPr>
          <w:ilvl w:val="0"/>
          <w:numId w:val="1001"/>
        </w:numPr>
      </w:pPr>
      <w:r>
        <w:t xml:space="preserve">Analyst sentiment remains neutral, with 17 Hold recommendations, 10 Buy ratings, and 3 Sell calls; the mean price target sits around</w:t>
      </w:r>
      <w:r>
        <w:t xml:space="preserve"> </w:t>
      </w:r>
      <w:r>
        <w:rPr>
          <w:b/>
          <w:bCs/>
        </w:rPr>
        <w:t xml:space="preserve">$221</w:t>
      </w:r>
      <w:r>
        <w:t xml:space="preserve">, implying roughly 30% upside from recent levels.</w:t>
      </w:r>
    </w:p>
    <w:p>
      <w:pPr>
        <w:pStyle w:val="Compact"/>
        <w:numPr>
          <w:ilvl w:val="0"/>
          <w:numId w:val="1001"/>
        </w:numPr>
      </w:pPr>
      <w:r>
        <w:t xml:space="preserve">QCOM trades at a trailing P/E of 18, a forward P/E of 15, and a PEG of 0.527, and the business's free cash flow yield sits at 7.28% against a market cap near $176–193 billion, backed by FY25 free cash flow of $12.82 billion.</w:t>
      </w:r>
    </w:p>
    <w:p>
      <w:pPr>
        <w:pStyle w:val="Compact"/>
        <w:numPr>
          <w:ilvl w:val="0"/>
          <w:numId w:val="1001"/>
        </w:numPr>
      </w:pPr>
      <w:r>
        <w:t xml:space="preserve">Capital returns remain robust: Qualcomm repurchased $5.4 billion of stock in the first half of fiscal 2026 under a newly expanded $20 billion authorization and pays a $0.89 quarterly dividend (~2.2% yield).</w:t>
      </w:r>
    </w:p>
    <w:bookmarkEnd w:id="15"/>
    <w:bookmarkStart w:id="16" w:name="key-things-to-watch-on-tomorrows-call"/>
    <w:p>
      <w:pPr>
        <w:pStyle w:val="Heading2"/>
      </w:pPr>
      <w:r>
        <w:t xml:space="preserve">Key Things to Watch on Tomorrow's Call</w:t>
      </w:r>
    </w:p>
    <w:p>
      <w:pPr>
        <w:pStyle w:val="Compact"/>
        <w:numPr>
          <w:ilvl w:val="0"/>
          <w:numId w:val="1002"/>
        </w:numPr>
      </w:pPr>
      <w:r>
        <w:rPr>
          <w:b/>
          <w:bCs/>
        </w:rPr>
        <w:t xml:space="preserve">China Android trajectory</w:t>
      </w:r>
      <w:r>
        <w:t xml:space="preserve"> </w:t>
      </w:r>
      <w:r>
        <w:t xml:space="preserve">— does management confirm the Q3 bottom and reiterate Q4 sequential growth, and how much of the memory-driven inventory drawdown has actually cleared?</w:t>
      </w:r>
    </w:p>
    <w:p>
      <w:pPr>
        <w:pStyle w:val="Compact"/>
        <w:numPr>
          <w:ilvl w:val="0"/>
          <w:numId w:val="1002"/>
        </w:numPr>
      </w:pPr>
      <w:r>
        <w:rPr>
          <w:b/>
          <w:bCs/>
        </w:rPr>
        <w:t xml:space="preserve">September-quarter (FQ4) guidance</w:t>
      </w:r>
      <w:r>
        <w:t xml:space="preserve"> </w:t>
      </w:r>
      <w:r>
        <w:t xml:space="preserve">— the net of a China Android recovery versus the Apple 20%-share step-down for new iPhones.</w:t>
      </w:r>
    </w:p>
    <w:p>
      <w:pPr>
        <w:pStyle w:val="Compact"/>
        <w:numPr>
          <w:ilvl w:val="0"/>
          <w:numId w:val="1002"/>
        </w:numPr>
      </w:pPr>
      <w:r>
        <w:rPr>
          <w:b/>
          <w:bCs/>
        </w:rPr>
        <w:t xml:space="preserve">Automotive durability</w:t>
      </w:r>
      <w:r>
        <w:t xml:space="preserve"> </w:t>
      </w:r>
      <w:r>
        <w:t xml:space="preserve">— can ~50% YoY growth be sustained, and any update on the $65B design-win pipeline or margin trajectory as content mix shifts toward ADAS/SiP.</w:t>
      </w:r>
    </w:p>
    <w:p>
      <w:pPr>
        <w:pStyle w:val="Compact"/>
        <w:numPr>
          <w:ilvl w:val="0"/>
          <w:numId w:val="1002"/>
        </w:numPr>
      </w:pPr>
      <w:r>
        <w:rPr>
          <w:b/>
          <w:bCs/>
        </w:rPr>
        <w:t xml:space="preserve">Data center specifics</w:t>
      </w:r>
      <w:r>
        <w:t xml:space="preserve"> </w:t>
      </w:r>
      <w:r>
        <w:t xml:space="preserve">— any new hyperscaler names, confirmation of the December-quarter custom-silicon shipment timeline, and early revenue cadence versus the $5B FY27 / $15B FY29 targets laid out at Investor Day.</w:t>
      </w:r>
    </w:p>
    <w:p>
      <w:pPr>
        <w:pStyle w:val="Compact"/>
        <w:numPr>
          <w:ilvl w:val="0"/>
          <w:numId w:val="1002"/>
        </w:numPr>
      </w:pPr>
      <w:r>
        <w:rPr>
          <w:b/>
          <w:bCs/>
        </w:rPr>
        <w:t xml:space="preserve">Memory/pricing commentary</w:t>
      </w:r>
      <w:r>
        <w:t xml:space="preserve"> </w:t>
      </w:r>
      <w:r>
        <w:t xml:space="preserve">— management's view on how long elevated memory costs persist into fiscal 2027, and any read-through from Qualcomm's own reported chip price increases.</w:t>
      </w:r>
    </w:p>
    <w:p>
      <w:pPr>
        <w:pStyle w:val="Compact"/>
        <w:numPr>
          <w:ilvl w:val="0"/>
          <w:numId w:val="1002"/>
        </w:numPr>
      </w:pPr>
      <w:r>
        <w:rPr>
          <w:b/>
          <w:bCs/>
        </w:rPr>
        <w:t xml:space="preserve">Capital allocation</w:t>
      </w:r>
      <w:r>
        <w:t xml:space="preserve"> </w:t>
      </w:r>
      <w:r>
        <w:t xml:space="preserve">— pace of buybacks against the $20B authorization amid the recent share-price volatility.</w:t>
      </w:r>
    </w:p>
    <w:bookmarkEnd w:id="16"/>
    <w:bookmarkStart w:id="17" w:name="bottom-line"/>
    <w:p>
      <w:pPr>
        <w:pStyle w:val="Heading2"/>
      </w:pPr>
      <w:r>
        <w:t xml:space="preserve">Bottom Line</w:t>
      </w:r>
    </w:p>
    <w:p>
      <w:pPr>
        <w:pStyle w:val="FirstParagraph"/>
      </w:pPr>
      <w:r>
        <w:t xml:space="preserve">Qualcomm heads into fiscal Q3 with low expectations already baked in — consensus embeds a ~7% revenue decline and ~20% EPS decline, largely reflecting a well-telegraphed memory-driven handset air pocket in China and the looming Apple share step-down. The stock has already been sharply repriced lower from its late-May AI-driven highs, reflecting both sector-wide de-rating and skepticism about the pace of data-center monetization. The setup argues that a "clean" beat-and-hold quarter, paired with confirmation that China Android has bottomed and any incremental data-center proof points, could be well received; conversely, any wavering on the Q4 recovery call or delays to the hyperscaler custom-silicon ramp would reinforce bearish narratives around Qualcomm's smartphone concentration just as the diversification story (auto, IoT, data center) is still in its early innings.</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2026-07-29T01:26:18Z</dcterms:created>
  <dcterms:modified xsi:type="dcterms:W3CDTF">2026-07-29T01:26:18Z</dcterms:modified>
</cp:coreProperties>
</file>

<file path=docProps/custom.xml><?xml version="1.0" encoding="utf-8"?>
<Properties xmlns="http://schemas.openxmlformats.org/officeDocument/2006/custom-properties" xmlns:vt="http://schemas.openxmlformats.org/officeDocument/2006/docPropsVTypes"/>
</file>