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qcom-fiscal-q3-2026-earnings-preview"/>
    <w:p>
      <w:pPr>
        <w:pStyle w:val="Heading1"/>
      </w:pPr>
      <w:r>
        <w:t xml:space="preserve">QCOM Fiscal Q3 2026 Earnings Preview</w:t>
      </w:r>
    </w:p>
    <w:p>
      <w:pPr>
        <w:pStyle w:val="BlockText"/>
      </w:pPr>
      <w:r>
        <w:rPr>
          <w:b/>
          <w:bCs/>
        </w:rPr>
        <w:t xml:space="preserve">Timing clarification:</w:t>
      </w:r>
      <w:r>
        <w:t xml:space="preserve"> </w:t>
      </w:r>
      <w:r>
        <w:t xml:space="preserve">Qualcomm is scheduled to release fiscal Q3 results</w:t>
      </w:r>
      <w:r>
        <w:t xml:space="preserve"> </w:t>
      </w:r>
      <w:r>
        <w:rPr>
          <w:b/>
          <w:bCs/>
        </w:rPr>
        <w:t xml:space="preserve">today, Wednesday, July 29, 2026, after the market closes</w:t>
      </w:r>
      <w:r>
        <w:t xml:space="preserve">, followed by its conference call at</w:t>
      </w:r>
      <w:r>
        <w:t xml:space="preserve"> </w:t>
      </w:r>
      <w:r>
        <w:rPr>
          <w:b/>
          <w:bCs/>
        </w:rPr>
        <w:t xml:space="preserve">4:45 p.m. Eastern / 1:45 p.m. Pacific</w:t>
      </w:r>
      <w:r>
        <w:t xml:space="preserve">. The report is not scheduled for July 30.</w:t>
      </w:r>
    </w:p>
    <w:bookmarkStart w:id="9" w:name="investment-view-going-into-the-quarter"/>
    <w:p>
      <w:pPr>
        <w:pStyle w:val="Heading2"/>
      </w:pPr>
      <w:r>
        <w:t xml:space="preserve">Investment view going into the quarter</w:t>
      </w:r>
    </w:p>
    <w:p>
      <w:pPr>
        <w:pStyle w:val="FirstParagraph"/>
      </w:pPr>
      <w:r>
        <w:t xml:space="preserve">This report is less about whether Qualcomm can clear a deliberately conservative June-quarter bar and more about whether management can validate the expected handset bottom, defend margins, and sustain confidence in its newly expanded data-center targets.</w:t>
      </w:r>
    </w:p>
    <w:p>
      <w:pPr>
        <w:pStyle w:val="BodyText"/>
      </w:pPr>
      <w:r>
        <w:t xml:space="preserve">Qualcomm entered fiscal Q3 facing a sharp reduction in shipments to Chinese Android manufacturers as elevated memory prices led customers to cut production and draw down channel inventory. Meanwhile, automotive and IoT continued growing, and June’s Investor Day significantly raised the stakes around Qualcomm’s data-center strategy.</w:t>
      </w:r>
    </w:p>
    <w:p>
      <w:pPr>
        <w:pStyle w:val="BodyText"/>
      </w:pPr>
      <w:r>
        <w:t xml:space="preserve">The central question is:</w:t>
      </w:r>
    </w:p>
    <w:p>
      <w:pPr>
        <w:pStyle w:val="BodyText"/>
      </w:pPr>
      <w:r>
        <w:rPr>
          <w:b/>
          <w:bCs/>
        </w:rPr>
        <w:t xml:space="preserve">Can Qualcomm bridge the near-term handset downturn—including Apple’s modem transition—with enough growth in automotive, IoT and data center to support the new long-term earnings framework?</w:t>
      </w:r>
    </w:p>
    <w:bookmarkEnd w:id="9"/>
    <w:bookmarkStart w:id="10" w:name="the-quarterly-hurdle"/>
    <w:p>
      <w:pPr>
        <w:pStyle w:val="Heading2"/>
      </w:pPr>
      <w:r>
        <w:t xml:space="preserve">The quarterly hurdle</w:t>
      </w:r>
    </w:p>
    <w:p>
      <w:pPr>
        <w:pStyle w:val="FirstParagraph"/>
      </w:pPr>
      <w:r>
        <w:t xml:space="preserve">Qualcomm’s fiscal Q3 guidance was: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Q3 FY26 guidance</w:t>
            </w:r>
          </w:p>
        </w:tc>
        <w:tc>
          <w:tcPr/>
          <w:p>
            <w:pPr>
              <w:pStyle w:val="Compact"/>
              <w:jc w:val="right"/>
            </w:pPr>
            <w:r>
              <w:t xml:space="preserve">Midpoint</w:t>
            </w:r>
          </w:p>
        </w:tc>
        <w:tc>
          <w:tcPr/>
          <w:p>
            <w:pPr>
              <w:pStyle w:val="Compact"/>
              <w:jc w:val="right"/>
            </w:pPr>
            <w:r>
              <w:t xml:space="preserve">Q3 FY25 actual</w:t>
            </w:r>
          </w:p>
        </w:tc>
        <w:tc>
          <w:tcPr/>
          <w:p>
            <w:pPr>
              <w:pStyle w:val="Compact"/>
              <w:jc w:val="right"/>
            </w:pPr>
            <w:r>
              <w:t xml:space="preserve">Midpoint YoY</w:t>
            </w:r>
          </w:p>
        </w:tc>
      </w:tr>
      <w:tr>
        <w:tc>
          <w:tcPr/>
          <w:p>
            <w:pPr>
              <w:pStyle w:val="Compact"/>
            </w:pPr>
            <w:r>
              <w:t xml:space="preserve">Revenue</w:t>
            </w:r>
          </w:p>
        </w:tc>
        <w:tc>
          <w:tcPr/>
          <w:p>
            <w:pPr>
              <w:pStyle w:val="Compact"/>
              <w:jc w:val="right"/>
            </w:pPr>
            <m:oMath>
              <m:r>
                <m:t>9.2</m:t>
              </m:r>
              <m:r>
                <m:t>B</m:t>
              </m:r>
              <m:r>
                <m:rPr>
                  <m:sty m:val="p"/>
                </m:rPr>
                <m:t>–</m:t>
              </m:r>
            </m:oMath>
            <w:r>
              <w:t xml:space="preserve">10.0B</w:t>
            </w:r>
          </w:p>
        </w:tc>
        <w:tc>
          <w:tcPr/>
          <w:p>
            <w:pPr>
              <w:pStyle w:val="Compact"/>
              <w:jc w:val="right"/>
            </w:pPr>
            <w:r>
              <w:t xml:space="preserve">$9.6B</w:t>
            </w:r>
          </w:p>
        </w:tc>
        <w:tc>
          <w:tcPr/>
          <w:p>
            <w:pPr>
              <w:pStyle w:val="Compact"/>
              <w:jc w:val="right"/>
            </w:pPr>
            <w:r>
              <w:t xml:space="preserve">$10.37B</w:t>
            </w:r>
          </w:p>
        </w:tc>
        <w:tc>
          <w:tcPr/>
          <w:p>
            <w:pPr>
              <w:pStyle w:val="Compact"/>
              <w:jc w:val="right"/>
            </w:pPr>
            <w:r>
              <w:rPr>
                <w:b/>
                <w:bCs/>
              </w:rPr>
              <w:t xml:space="preserve">-7%</w:t>
            </w:r>
          </w:p>
        </w:tc>
      </w:tr>
      <w:tr>
        <w:tc>
          <w:tcPr/>
          <w:p>
            <w:pPr>
              <w:pStyle w:val="Compact"/>
            </w:pPr>
            <w:r>
              <w:t xml:space="preserve">Non-GAAP EPS</w:t>
            </w:r>
          </w:p>
        </w:tc>
        <w:tc>
          <w:tcPr/>
          <w:p>
            <w:pPr>
              <w:pStyle w:val="Compact"/>
              <w:jc w:val="right"/>
            </w:pPr>
            <m:oMath>
              <m:r>
                <m:t>2.10</m:t>
              </m:r>
              <m:r>
                <m:rPr>
                  <m:sty m:val="p"/>
                </m:rPr>
                <m:t>–</m:t>
              </m:r>
            </m:oMath>
            <w:r>
              <w:t xml:space="preserve">2.30</w:t>
            </w:r>
          </w:p>
        </w:tc>
        <w:tc>
          <w:tcPr/>
          <w:p>
            <w:pPr>
              <w:pStyle w:val="Compact"/>
              <w:jc w:val="right"/>
            </w:pPr>
            <w:r>
              <w:t xml:space="preserve">$2.20</w:t>
            </w:r>
          </w:p>
        </w:tc>
        <w:tc>
          <w:tcPr/>
          <w:p>
            <w:pPr>
              <w:pStyle w:val="Compact"/>
              <w:jc w:val="right"/>
            </w:pPr>
            <w:r>
              <w:t xml:space="preserve">$2.77</w:t>
            </w:r>
          </w:p>
        </w:tc>
        <w:tc>
          <w:tcPr/>
          <w:p>
            <w:pPr>
              <w:pStyle w:val="Compact"/>
              <w:jc w:val="right"/>
            </w:pPr>
            <w:r>
              <w:rPr>
                <w:b/>
                <w:bCs/>
              </w:rPr>
              <w:t xml:space="preserve">-21%</w:t>
            </w:r>
          </w:p>
        </w:tc>
      </w:tr>
      <w:tr>
        <w:tc>
          <w:tcPr/>
          <w:p>
            <w:pPr>
              <w:pStyle w:val="Compact"/>
            </w:pPr>
            <w:r>
              <w:t xml:space="preserve">QCT revenue</w:t>
            </w:r>
          </w:p>
        </w:tc>
        <w:tc>
          <w:tcPr/>
          <w:p>
            <w:pPr>
              <w:pStyle w:val="Compact"/>
              <w:jc w:val="right"/>
            </w:pPr>
            <m:oMath>
              <m:r>
                <m:t>7.9</m:t>
              </m:r>
              <m:r>
                <m:t>B</m:t>
              </m:r>
              <m:r>
                <m:rPr>
                  <m:sty m:val="p"/>
                </m:rPr>
                <m:t>–</m:t>
              </m:r>
            </m:oMath>
            <w:r>
              <w:t xml:space="preserve">8.5B</w:t>
            </w:r>
          </w:p>
        </w:tc>
        <w:tc>
          <w:tcPr/>
          <w:p>
            <w:pPr>
              <w:pStyle w:val="Compact"/>
              <w:jc w:val="right"/>
            </w:pPr>
            <w:r>
              <w:t xml:space="preserve">$8.2B</w:t>
            </w:r>
          </w:p>
        </w:tc>
        <w:tc>
          <w:tcPr/>
          <w:p>
            <w:pPr>
              <w:pStyle w:val="Compact"/>
              <w:jc w:val="right"/>
            </w:pPr>
            <w:r>
              <w:t xml:space="preserve">$8.99B</w:t>
            </w:r>
          </w:p>
        </w:tc>
        <w:tc>
          <w:tcPr/>
          <w:p>
            <w:pPr>
              <w:pStyle w:val="Compact"/>
              <w:jc w:val="right"/>
            </w:pPr>
            <w:r>
              <w:rPr>
                <w:b/>
                <w:bCs/>
              </w:rPr>
              <w:t xml:space="preserve">-9%</w:t>
            </w:r>
          </w:p>
        </w:tc>
      </w:tr>
      <w:tr>
        <w:tc>
          <w:tcPr/>
          <w:p>
            <w:pPr>
              <w:pStyle w:val="Compact"/>
            </w:pPr>
            <w:r>
              <w:t xml:space="preserve">QTL revenue</w:t>
            </w:r>
          </w:p>
        </w:tc>
        <w:tc>
          <w:tcPr/>
          <w:p>
            <w:pPr>
              <w:pStyle w:val="Compact"/>
              <w:jc w:val="right"/>
            </w:pPr>
            <m:oMath>
              <m:r>
                <m:t>1.15</m:t>
              </m:r>
              <m:r>
                <m:t>B</m:t>
              </m:r>
              <m:r>
                <m:rPr>
                  <m:sty m:val="p"/>
                </m:rPr>
                <m:t>–</m:t>
              </m:r>
            </m:oMath>
            <w:r>
              <w:t xml:space="preserve">1.35B</w:t>
            </w:r>
          </w:p>
        </w:tc>
        <w:tc>
          <w:tcPr/>
          <w:p>
            <w:pPr>
              <w:pStyle w:val="Compact"/>
              <w:jc w:val="right"/>
            </w:pPr>
            <w:r>
              <w:t xml:space="preserve">$1.25B</w:t>
            </w:r>
          </w:p>
        </w:tc>
        <w:tc>
          <w:tcPr/>
          <w:p>
            <w:pPr>
              <w:pStyle w:val="Compact"/>
              <w:jc w:val="right"/>
            </w:pPr>
            <w:r>
              <w:t xml:space="preserve">$1.32B</w:t>
            </w:r>
          </w:p>
        </w:tc>
        <w:tc>
          <w:tcPr/>
          <w:p>
            <w:pPr>
              <w:pStyle w:val="Compact"/>
              <w:jc w:val="right"/>
            </w:pPr>
            <w:r>
              <w:rPr>
                <w:b/>
                <w:bCs/>
              </w:rPr>
              <w:t xml:space="preserve">-5%</w:t>
            </w:r>
          </w:p>
        </w:tc>
      </w:tr>
      <w:tr>
        <w:tc>
          <w:tcPr/>
          <w:p>
            <w:pPr>
              <w:pStyle w:val="Compact"/>
            </w:pPr>
            <w:r>
              <w:t xml:space="preserve">QCT EBT margin</w:t>
            </w:r>
          </w:p>
        </w:tc>
        <w:tc>
          <w:tcPr/>
          <w:p>
            <w:pPr>
              <w:pStyle w:val="Compact"/>
              <w:jc w:val="right"/>
            </w:pPr>
            <w:r>
              <w:t xml:space="preserve">25%–27%</w:t>
            </w:r>
          </w:p>
        </w:tc>
        <w:tc>
          <w:tcPr/>
          <w:p>
            <w:pPr>
              <w:pStyle w:val="Compact"/>
              <w:jc w:val="right"/>
            </w:pPr>
            <w:r>
              <w:t xml:space="preserve">26%</w:t>
            </w:r>
          </w:p>
        </w:tc>
        <w:tc>
          <w:tcPr/>
          <w:p>
            <w:pPr>
              <w:pStyle w:val="Compact"/>
              <w:jc w:val="right"/>
            </w:pPr>
            <w:r>
              <w:t xml:space="preserve">30%</w:t>
            </w:r>
          </w:p>
        </w:tc>
        <w:tc>
          <w:tcPr/>
          <w:p>
            <w:pPr>
              <w:pStyle w:val="Compact"/>
              <w:jc w:val="right"/>
            </w:pPr>
            <w:r>
              <w:rPr>
                <w:b/>
                <w:bCs/>
              </w:rPr>
              <w:t xml:space="preserve">-4 pts</w:t>
            </w:r>
          </w:p>
        </w:tc>
      </w:tr>
      <w:tr>
        <w:tc>
          <w:tcPr/>
          <w:p>
            <w:pPr>
              <w:pStyle w:val="Compact"/>
            </w:pPr>
            <w:r>
              <w:t xml:space="preserve">QTL EBT margin</w:t>
            </w:r>
          </w:p>
        </w:tc>
        <w:tc>
          <w:tcPr/>
          <w:p>
            <w:pPr>
              <w:pStyle w:val="Compact"/>
              <w:jc w:val="right"/>
            </w:pPr>
            <w:r>
              <w:t xml:space="preserve">67%–71%</w:t>
            </w:r>
          </w:p>
        </w:tc>
        <w:tc>
          <w:tcPr/>
          <w:p>
            <w:pPr>
              <w:pStyle w:val="Compact"/>
              <w:jc w:val="right"/>
            </w:pPr>
            <w:r>
              <w:t xml:space="preserve">69%</w:t>
            </w:r>
          </w:p>
        </w:tc>
        <w:tc>
          <w:tcPr/>
          <w:p>
            <w:pPr>
              <w:pStyle w:val="Compact"/>
              <w:jc w:val="right"/>
            </w:pPr>
            <w:r>
              <w:t xml:space="preserve">71%</w:t>
            </w:r>
          </w:p>
        </w:tc>
        <w:tc>
          <w:tcPr/>
          <w:p>
            <w:pPr>
              <w:pStyle w:val="Compact"/>
              <w:jc w:val="right"/>
            </w:pPr>
            <w:r>
              <w:rPr>
                <w:b/>
                <w:bCs/>
              </w:rPr>
              <w:t xml:space="preserve">-2 pts</w:t>
            </w:r>
          </w:p>
        </w:tc>
      </w:tr>
    </w:tbl>
    <w:p>
      <w:pPr>
        <w:pStyle w:val="BodyText"/>
      </w:pPr>
      <w:r>
        <w:t xml:space="preserve">Management also provided unusually specific revenue expectations for the QCT businesses:</w:t>
      </w:r>
    </w:p>
    <w:p>
      <w:pPr>
        <w:pStyle w:val="Compact"/>
        <w:numPr>
          <w:ilvl w:val="0"/>
          <w:numId w:val="1001"/>
        </w:numPr>
      </w:pPr>
      <w:r>
        <w:rPr>
          <w:b/>
          <w:bCs/>
        </w:rPr>
        <w:t xml:space="preserve">Handsets:</w:t>
      </w:r>
      <w:r>
        <w:t xml:space="preserve"> </w:t>
      </w:r>
      <w:r>
        <w:t xml:space="preserve">approximately</w:t>
      </w:r>
      <w:r>
        <w:t xml:space="preserve"> </w:t>
      </w:r>
      <w:r>
        <w:rPr>
          <w:b/>
          <w:bCs/>
        </w:rPr>
        <w:t xml:space="preserve">$4.9 billion</w:t>
      </w:r>
      <w:r>
        <w:t xml:space="preserve">, down roughly</w:t>
      </w:r>
      <w:r>
        <w:t xml:space="preserve"> </w:t>
      </w:r>
      <w:r>
        <w:rPr>
          <w:b/>
          <w:bCs/>
        </w:rPr>
        <w:t xml:space="preserve">23% year over year</w:t>
      </w:r>
    </w:p>
    <w:p>
      <w:pPr>
        <w:pStyle w:val="Compact"/>
        <w:numPr>
          <w:ilvl w:val="0"/>
          <w:numId w:val="1001"/>
        </w:numPr>
      </w:pPr>
      <w:r>
        <w:rPr>
          <w:b/>
          <w:bCs/>
        </w:rPr>
        <w:t xml:space="preserve">Automotive:</w:t>
      </w:r>
      <w:r>
        <w:t xml:space="preserve"> </w:t>
      </w:r>
      <w:r>
        <w:t xml:space="preserve">approximately</w:t>
      </w:r>
      <w:r>
        <w:t xml:space="preserve"> </w:t>
      </w:r>
      <w:r>
        <w:rPr>
          <w:b/>
          <w:bCs/>
        </w:rPr>
        <w:t xml:space="preserve">50% year-over-year growth</w:t>
      </w:r>
      <w:r>
        <w:t xml:space="preserve">, implying roughly</w:t>
      </w:r>
      <w:r>
        <w:t xml:space="preserve"> </w:t>
      </w:r>
      <w:r>
        <w:rPr>
          <w:b/>
          <w:bCs/>
        </w:rPr>
        <w:t xml:space="preserve">$1.48 billion</w:t>
      </w:r>
    </w:p>
    <w:p>
      <w:pPr>
        <w:pStyle w:val="Compact"/>
        <w:numPr>
          <w:ilvl w:val="0"/>
          <w:numId w:val="1001"/>
        </w:numPr>
      </w:pPr>
      <w:r>
        <w:rPr>
          <w:b/>
          <w:bCs/>
        </w:rPr>
        <w:t xml:space="preserve">IoT:</w:t>
      </w:r>
      <w:r>
        <w:t xml:space="preserve"> </w:t>
      </w:r>
      <w:r>
        <w:t xml:space="preserve">high-single-digit year-over-year growth, implying approximately</w:t>
      </w:r>
      <w:r>
        <w:t xml:space="preserve"> </w:t>
      </w:r>
      <w:r>
        <w:rPr>
          <w:b/>
          <w:bCs/>
        </w:rPr>
        <w:t xml:space="preserve">$1.8 billion</w:t>
      </w:r>
    </w:p>
    <w:p>
      <w:pPr>
        <w:pStyle w:val="FirstParagraph"/>
      </w:pPr>
      <w:r>
        <w:t xml:space="preserve">Together, those assumptions broadly reconcile to the $8.2 billion QCT midpoint.</w:t>
      </w:r>
    </w:p>
    <w:p>
      <w:pPr>
        <w:pStyle w:val="BodyText"/>
      </w:pPr>
      <w:r>
        <w:t xml:space="preserve">A result merely near the midpoint would confirm a weak quarter that was already anticipated. A more meaningful positive would require results toward the upper half of guidance, relatively resilient QCT margins, and constructive fiscal Q4 commentary.</w:t>
      </w:r>
    </w:p>
    <w:bookmarkEnd w:id="10"/>
    <w:bookmarkStart w:id="11" w:name="X9345d4967567033631556ed14d51f0fb784a45b"/>
    <w:p>
      <w:pPr>
        <w:pStyle w:val="Heading2"/>
      </w:pPr>
      <w:r>
        <w:t xml:space="preserve">Issue No. 1: Has the China Android handset business bottomed?</w:t>
      </w:r>
    </w:p>
    <w:p>
      <w:pPr>
        <w:pStyle w:val="FirstParagraph"/>
      </w:pPr>
      <w:r>
        <w:t xml:space="preserve">This is the most important near-term operating question.</w:t>
      </w:r>
    </w:p>
    <w:p>
      <w:pPr>
        <w:pStyle w:val="BodyText"/>
      </w:pPr>
      <w:r>
        <w:t xml:space="preserve">In April, management said Chinese handset customers were materially undershipping end demand because they were reducing builds and channel inventory in response to tight and expensive memory. Qualcomm expected Chinese-customer handset revenue to bottom in fiscal Q3 and return to sequential growth in fiscal Q4.</w:t>
      </w:r>
    </w:p>
    <w:p>
      <w:pPr>
        <w:pStyle w:val="BodyText"/>
      </w:pPr>
      <w:r>
        <w:t xml:space="preserve">Investors should focus on three distinctions:</w:t>
      </w:r>
    </w:p>
    <w:p>
      <w:pPr>
        <w:numPr>
          <w:ilvl w:val="0"/>
          <w:numId w:val="1002"/>
        </w:numPr>
      </w:pPr>
      <w:r>
        <w:rPr>
          <w:b/>
          <w:bCs/>
        </w:rPr>
        <w:t xml:space="preserve">End-market demand versus inventory correction.</w:t>
      </w:r>
      <w:r>
        <w:br/>
      </w:r>
      <w:r>
        <w:t xml:space="preserve">Management previously argued that consumer sell-through was holding up better than Qualcomm’s chip shipments. Confirmation that channel inventory has normalized would support a rebound even without a major smartphone market recovery.</w:t>
      </w:r>
    </w:p>
    <w:p>
      <w:pPr>
        <w:numPr>
          <w:ilvl w:val="0"/>
          <w:numId w:val="1002"/>
        </w:numPr>
      </w:pPr>
      <w:r>
        <w:rPr>
          <w:b/>
          <w:bCs/>
        </w:rPr>
        <w:t xml:space="preserve">Premium versus low- and mid-tier demand.</w:t>
      </w:r>
      <w:r>
        <w:br/>
      </w:r>
      <w:r>
        <w:t xml:space="preserve">The premium segment had been more resilient because manufacturers were allocating scarce memory to higher-margin devices. Further weakness spreading into premium Android would be more concerning than continued softness at the low end.</w:t>
      </w:r>
    </w:p>
    <w:p>
      <w:pPr>
        <w:numPr>
          <w:ilvl w:val="0"/>
          <w:numId w:val="1002"/>
        </w:numPr>
      </w:pPr>
      <w:r>
        <w:rPr>
          <w:b/>
          <w:bCs/>
        </w:rPr>
        <w:t xml:space="preserve">The magnitude of the fiscal Q4 rebound.</w:t>
      </w:r>
      <w:r>
        <w:br/>
      </w:r>
      <w:r>
        <w:t xml:space="preserve">Simply repeating that Q3 was the bottom may not be enough. Investors will want evidence that Chinese Android growth can outweigh—or at least materially offset—the coming Apple decline.</w:t>
      </w:r>
    </w:p>
    <w:p>
      <w:pPr>
        <w:pStyle w:val="FirstParagraph"/>
      </w:pPr>
      <w:r>
        <w:t xml:space="preserve">A handset result materially above $4.9 billion would be constructive. A miss, or a delay in the expected recovery, would undermine the fiscal Q4 setup.</w:t>
      </w:r>
    </w:p>
    <w:bookmarkEnd w:id="11"/>
    <w:bookmarkStart w:id="12" w:name="Xb8e01cf850f758239c14d2896eb80a3ab40f37b"/>
    <w:p>
      <w:pPr>
        <w:pStyle w:val="Heading2"/>
      </w:pPr>
      <w:r>
        <w:t xml:space="preserve">Issue No. 2: China recovery versus the Apple modem transition</w:t>
      </w:r>
    </w:p>
    <w:p>
      <w:pPr>
        <w:pStyle w:val="FirstParagraph"/>
      </w:pPr>
      <w:r>
        <w:t xml:space="preserve">Qualcomm expects to supply modems for only about</w:t>
      </w:r>
      <w:r>
        <w:t xml:space="preserve"> </w:t>
      </w:r>
      <w:r>
        <w:rPr>
          <w:b/>
          <w:bCs/>
        </w:rPr>
        <w:t xml:space="preserve">20% of Apple’s fall 2026 phone launches</w:t>
      </w:r>
      <w:r>
        <w:t xml:space="preserve">, with no assumed product relationship beyond that generation. Management previously said that a little over</w:t>
      </w:r>
      <w:r>
        <w:t xml:space="preserve"> </w:t>
      </w:r>
      <w:r>
        <w:rPr>
          <w:b/>
          <w:bCs/>
        </w:rPr>
        <w:t xml:space="preserve">$2 billion of Apple QCT revenue in fiscal 2027</w:t>
      </w:r>
      <w:r>
        <w:t xml:space="preserve"> </w:t>
      </w:r>
      <w:r>
        <w:t xml:space="preserve">was a reasonable modeling assumption.</w:t>
      </w:r>
    </w:p>
    <w:p>
      <w:pPr>
        <w:pStyle w:val="BodyText"/>
      </w:pPr>
      <w:r>
        <w:t xml:space="preserve">That makes fiscal Q4 guidance particularly important. Two forces are moving in opposite directions:</w:t>
      </w:r>
    </w:p>
    <w:p>
      <w:pPr>
        <w:pStyle w:val="Compact"/>
        <w:numPr>
          <w:ilvl w:val="0"/>
          <w:numId w:val="1003"/>
        </w:numPr>
      </w:pPr>
      <w:r>
        <w:t xml:space="preserve">Chinese Android revenue should recover sequentially as inventory adjustments fade.</w:t>
      </w:r>
    </w:p>
    <w:p>
      <w:pPr>
        <w:pStyle w:val="Compact"/>
        <w:numPr>
          <w:ilvl w:val="0"/>
          <w:numId w:val="1003"/>
        </w:numPr>
      </w:pPr>
      <w:r>
        <w:t xml:space="preserve">Apple-related revenue will not receive its historical seasonal lift because of Qualcomm’s reduced modem share.</w:t>
      </w:r>
    </w:p>
    <w:p>
      <w:pPr>
        <w:pStyle w:val="FirstParagraph"/>
      </w:pPr>
      <w:r>
        <w:t xml:space="preserve">Investors should not evaluate the September-quarter handset outlook solely on whether it grows sequentially. The underlying mix matters. A credible Android recovery alongside an expected Apple decline would be healthier than flat handset revenue driven by a weaker-than-expected Apple transition but no China normalization.</w:t>
      </w:r>
    </w:p>
    <w:p>
      <w:pPr>
        <w:pStyle w:val="BodyText"/>
      </w:pPr>
      <w:r>
        <w:t xml:space="preserve">The licensing relationship is separate from the chip business, so the Apple modem loss should not automatically translate into a comparable QTL royalty decline.</w:t>
      </w:r>
    </w:p>
    <w:bookmarkEnd w:id="12"/>
    <w:bookmarkStart w:id="15" w:name="X7b27c0fd35a02a6f250fb8420bf774939531a34"/>
    <w:p>
      <w:pPr>
        <w:pStyle w:val="Heading2"/>
      </w:pPr>
      <w:r>
        <w:t xml:space="preserve">Issue No. 3: Can automotive and IoT offset handset weakness?</w:t>
      </w:r>
    </w:p>
    <w:bookmarkStart w:id="13" w:name="automotive"/>
    <w:p>
      <w:pPr>
        <w:pStyle w:val="Heading3"/>
      </w:pPr>
      <w:r>
        <w:t xml:space="preserve">Automotive</w:t>
      </w:r>
    </w:p>
    <w:p>
      <w:pPr>
        <w:pStyle w:val="FirstParagraph"/>
      </w:pPr>
      <w:r>
        <w:t xml:space="preserve">Automotive remains Qualcomm’s clearest diversification success.</w:t>
      </w:r>
    </w:p>
    <w:p>
      <w:pPr>
        <w:pStyle w:val="BodyText"/>
      </w:pPr>
      <w:r>
        <w:t xml:space="preserve">Q2 automotive revenue reached a record</w:t>
      </w:r>
      <w:r>
        <w:t xml:space="preserve"> </w:t>
      </w:r>
      <m:oMath>
        <m:r>
          <m:t>1.33</m:t>
        </m:r>
        <m:r>
          <m:t>b</m:t>
        </m:r>
        <m:r>
          <m:t>i</m:t>
        </m:r>
        <m:r>
          <m:t>l</m:t>
        </m:r>
        <m:r>
          <m:t>l</m:t>
        </m:r>
        <m:r>
          <m:t>i</m:t>
        </m:r>
        <m:r>
          <m:t>o</m:t>
        </m:r>
        <m:r>
          <m:t>n</m:t>
        </m:r>
        <m:r>
          <m:rPr>
            <m:sty m:val="p"/>
          </m:rPr>
          <m:t>*</m:t>
        </m:r>
        <m:r>
          <m:rPr>
            <m:sty m:val="p"/>
          </m:rPr>
          <m:t>*</m:t>
        </m:r>
        <m:r>
          <m:rPr>
            <m:sty m:val="p"/>
          </m:rPr>
          <m:t>,</m:t>
        </m:r>
        <m:r>
          <m:t>u</m:t>
        </m:r>
        <m:r>
          <m:t>p</m:t>
        </m:r>
        <m:r>
          <m:rPr>
            <m:sty m:val="p"/>
          </m:rPr>
          <m:t>*</m:t>
        </m:r>
        <m:r>
          <m:rPr>
            <m:sty m:val="p"/>
          </m:rPr>
          <m:t>*</m:t>
        </m:r>
        <m:r>
          <m:t>38</m:t>
        </m:r>
      </m:oMath>
      <w:r>
        <w:rPr>
          <w:b/>
          <w:bCs/>
        </w:rPr>
        <w:t xml:space="preserve">6 billion</w:t>
      </w:r>
      <w:r>
        <w:t xml:space="preserve">.</w:t>
      </w:r>
    </w:p>
    <w:p>
      <w:pPr>
        <w:pStyle w:val="BodyText"/>
      </w:pPr>
      <w:r>
        <w:t xml:space="preserve">At its June Investor Day, the company:</w:t>
      </w:r>
    </w:p>
    <w:p>
      <w:pPr>
        <w:pStyle w:val="Compact"/>
        <w:numPr>
          <w:ilvl w:val="0"/>
          <w:numId w:val="1004"/>
        </w:numPr>
      </w:pPr>
      <w:r>
        <w:t xml:space="preserve">Raised its fiscal 2029 automotive target to</w:t>
      </w:r>
      <w:r>
        <w:t xml:space="preserve"> </w:t>
      </w:r>
      <w:r>
        <w:rPr>
          <w:b/>
          <w:bCs/>
        </w:rPr>
        <w:t xml:space="preserve">$10 billion</w:t>
      </w:r>
    </w:p>
    <w:p>
      <w:pPr>
        <w:pStyle w:val="Compact"/>
        <w:numPr>
          <w:ilvl w:val="0"/>
          <w:numId w:val="1004"/>
        </w:numPr>
      </w:pPr>
      <w:r>
        <w:t xml:space="preserve">Expanded its automotive design-win pipeline to</w:t>
      </w:r>
      <w:r>
        <w:t xml:space="preserve"> </w:t>
      </w:r>
      <w:r>
        <w:rPr>
          <w:b/>
          <w:bCs/>
        </w:rPr>
        <w:t xml:space="preserve">$65 billion</w:t>
      </w:r>
    </w:p>
    <w:p>
      <w:pPr>
        <w:pStyle w:val="Compact"/>
        <w:numPr>
          <w:ilvl w:val="0"/>
          <w:numId w:val="1004"/>
        </w:numPr>
      </w:pPr>
      <w:r>
        <w:t xml:space="preserve">Highlighted rising content from digital cockpit, connectivity and ADAS</w:t>
      </w:r>
    </w:p>
    <w:p>
      <w:pPr>
        <w:pStyle w:val="Compact"/>
        <w:numPr>
          <w:ilvl w:val="0"/>
          <w:numId w:val="1004"/>
        </w:numPr>
      </w:pPr>
      <w:r>
        <w:t xml:space="preserve">Said the fifth-generation Digital Chassis represents a large increase in compute and silicon content</w:t>
      </w:r>
    </w:p>
    <w:p>
      <w:pPr>
        <w:pStyle w:val="FirstParagraph"/>
      </w:pPr>
      <w:r>
        <w:t xml:space="preserve">For Q3, approximately</w:t>
      </w:r>
      <w:r>
        <w:t xml:space="preserve"> </w:t>
      </w:r>
      <m:oMath>
        <m:r>
          <m:t>1.45</m:t>
        </m:r>
        <m:r>
          <m:t>b</m:t>
        </m:r>
        <m:r>
          <m:t>i</m:t>
        </m:r>
        <m:r>
          <m:t>l</m:t>
        </m:r>
        <m:r>
          <m:t>l</m:t>
        </m:r>
        <m:r>
          <m:t>i</m:t>
        </m:r>
        <m:r>
          <m:t>o</m:t>
        </m:r>
        <m:r>
          <m:t>n</m:t>
        </m:r>
        <m:r>
          <m:rPr>
            <m:sty m:val="p"/>
          </m:rPr>
          <m:t>–</m:t>
        </m:r>
      </m:oMath>
      <w:r>
        <w:t xml:space="preserve">1.50 billion of automotive revenue would validate the guided acceleration. The more important read-through will be whether the fiscal year-end $6 billion-plus run rate remains intact.</w:t>
      </w:r>
    </w:p>
    <w:bookmarkEnd w:id="13"/>
    <w:bookmarkStart w:id="14" w:name="iot"/>
    <w:p>
      <w:pPr>
        <w:pStyle w:val="Heading3"/>
      </w:pPr>
      <w:r>
        <w:t xml:space="preserve">IoT</w:t>
      </w:r>
    </w:p>
    <w:p>
      <w:pPr>
        <w:pStyle w:val="FirstParagraph"/>
      </w:pPr>
      <w:r>
        <w:t xml:space="preserve">Q2 IoT revenue grew</w:t>
      </w:r>
      <w:r>
        <w:t xml:space="preserve"> </w:t>
      </w:r>
      <w:r>
        <w:rPr>
          <w:b/>
          <w:bCs/>
        </w:rPr>
        <w:t xml:space="preserve">9%</w:t>
      </w:r>
      <w:r>
        <w:t xml:space="preserve"> </w:t>
      </w:r>
      <w:r>
        <w:t xml:space="preserve">to</w:t>
      </w:r>
      <w:r>
        <w:t xml:space="preserve"> </w:t>
      </w:r>
      <w:r>
        <w:rPr>
          <w:b/>
          <w:bCs/>
        </w:rPr>
        <w:t xml:space="preserve">$1.73 billion</w:t>
      </w:r>
      <w:r>
        <w:t xml:space="preserve">, with strength in industrial and consumer products. High-single-digit Q3 growth would place revenue near $1.8 billion.</w:t>
      </w:r>
    </w:p>
    <w:p>
      <w:pPr>
        <w:pStyle w:val="BodyText"/>
      </w:pPr>
      <w:r>
        <w:t xml:space="preserve">Investors should listen for detail on:</w:t>
      </w:r>
    </w:p>
    <w:p>
      <w:pPr>
        <w:pStyle w:val="Compact"/>
        <w:numPr>
          <w:ilvl w:val="0"/>
          <w:numId w:val="1005"/>
        </w:numPr>
      </w:pPr>
      <w:r>
        <w:t xml:space="preserve">Snapdragon X-series PC adoption</w:t>
      </w:r>
    </w:p>
    <w:p>
      <w:pPr>
        <w:pStyle w:val="Compact"/>
        <w:numPr>
          <w:ilvl w:val="0"/>
          <w:numId w:val="1005"/>
        </w:numPr>
      </w:pPr>
      <w:r>
        <w:t xml:space="preserve">Smart glasses and other personal-AI devices</w:t>
      </w:r>
    </w:p>
    <w:p>
      <w:pPr>
        <w:pStyle w:val="Compact"/>
        <w:numPr>
          <w:ilvl w:val="0"/>
          <w:numId w:val="1005"/>
        </w:numPr>
      </w:pPr>
      <w:r>
        <w:t xml:space="preserve">Industrial edge deployments</w:t>
      </w:r>
    </w:p>
    <w:p>
      <w:pPr>
        <w:pStyle w:val="Compact"/>
        <w:numPr>
          <w:ilvl w:val="0"/>
          <w:numId w:val="1005"/>
        </w:numPr>
      </w:pPr>
      <w:r>
        <w:t xml:space="preserve">Robotics design wins</w:t>
      </w:r>
    </w:p>
    <w:p>
      <w:pPr>
        <w:pStyle w:val="Compact"/>
        <w:numPr>
          <w:ilvl w:val="0"/>
          <w:numId w:val="1005"/>
        </w:numPr>
      </w:pPr>
      <w:r>
        <w:t xml:space="preserve">Whether growth is broad-based or concentrated in a few product launches</w:t>
      </w:r>
    </w:p>
    <w:p>
      <w:pPr>
        <w:pStyle w:val="FirstParagraph"/>
      </w:pPr>
      <w:r>
        <w:t xml:space="preserve">Automotive and IoT combined grew 20% in Q2, but handsets still represented roughly two-thirds of QCT revenue. Diversification is helping, but it has not yet eliminated handset-driven earnings volatility.</w:t>
      </w:r>
    </w:p>
    <w:bookmarkEnd w:id="14"/>
    <w:bookmarkEnd w:id="15"/>
    <w:bookmarkStart w:id="16" w:name="X13bae00975ec7f1aa13f7dae9127d5916308cef"/>
    <w:p>
      <w:pPr>
        <w:pStyle w:val="Heading2"/>
      </w:pPr>
      <w:r>
        <w:t xml:space="preserve">Issue No. 4: Data-center execution must begin replacing narrative with evidence</w:t>
      </w:r>
    </w:p>
    <w:p>
      <w:pPr>
        <w:pStyle w:val="FirstParagraph"/>
      </w:pPr>
      <w:r>
        <w:t xml:space="preserve">June’s Investor Day materially changed Qualcomm’s long-term story. Management now targets:</w:t>
      </w:r>
    </w:p>
    <w:p>
      <w:pPr>
        <w:pStyle w:val="Compact"/>
        <w:numPr>
          <w:ilvl w:val="0"/>
          <w:numId w:val="1006"/>
        </w:numPr>
      </w:pPr>
      <w:r>
        <w:rPr>
          <w:b/>
          <w:bCs/>
        </w:rPr>
        <w:t xml:space="preserve">$5 billion of data-center revenue in fiscal 2027</w:t>
      </w:r>
    </w:p>
    <w:p>
      <w:pPr>
        <w:pStyle w:val="Compact"/>
        <w:numPr>
          <w:ilvl w:val="0"/>
          <w:numId w:val="1006"/>
        </w:numPr>
      </w:pPr>
      <w:r>
        <w:t xml:space="preserve">More than</w:t>
      </w:r>
      <w:r>
        <w:t xml:space="preserve"> </w:t>
      </w:r>
      <w:r>
        <w:rPr>
          <w:b/>
          <w:bCs/>
        </w:rPr>
        <w:t xml:space="preserve">$15 billion in fiscal 2029</w:t>
      </w:r>
    </w:p>
    <w:p>
      <w:pPr>
        <w:pStyle w:val="Compact"/>
        <w:numPr>
          <w:ilvl w:val="0"/>
          <w:numId w:val="1006"/>
        </w:numPr>
      </w:pPr>
      <w:r>
        <w:t xml:space="preserve">At least two global-scale hyperscaler customers contributing $1 billion or more during fiscal 2027</w:t>
      </w:r>
    </w:p>
    <w:p>
      <w:pPr>
        <w:pStyle w:val="Compact"/>
        <w:numPr>
          <w:ilvl w:val="0"/>
          <w:numId w:val="1006"/>
        </w:numPr>
      </w:pPr>
      <w:r>
        <w:t xml:space="preserve">Custom-silicon revenue beginning in fiscal Q1 2027</w:t>
      </w:r>
    </w:p>
    <w:p>
      <w:pPr>
        <w:pStyle w:val="Compact"/>
        <w:numPr>
          <w:ilvl w:val="0"/>
          <w:numId w:val="1006"/>
        </w:numPr>
      </w:pPr>
      <w:r>
        <w:t xml:space="preserve">AI accelerator revenue ramping in the second half of fiscal 2027</w:t>
      </w:r>
    </w:p>
    <w:p>
      <w:pPr>
        <w:pStyle w:val="Compact"/>
        <w:numPr>
          <w:ilvl w:val="0"/>
          <w:numId w:val="1006"/>
        </w:numPr>
      </w:pPr>
      <w:r>
        <w:t xml:space="preserve">Server CPU revenue beginning in the second half of fiscal 2028</w:t>
      </w:r>
    </w:p>
    <w:p>
      <w:pPr>
        <w:pStyle w:val="FirstParagraph"/>
      </w:pPr>
      <w:r>
        <w:t xml:space="preserve">Qualcomm also announced:</w:t>
      </w:r>
    </w:p>
    <w:p>
      <w:pPr>
        <w:pStyle w:val="Compact"/>
        <w:numPr>
          <w:ilvl w:val="0"/>
          <w:numId w:val="1007"/>
        </w:numPr>
      </w:pPr>
      <w:r>
        <w:t xml:space="preserve">The Dragonfly data-center product portfolio</w:t>
      </w:r>
    </w:p>
    <w:p>
      <w:pPr>
        <w:pStyle w:val="Compact"/>
        <w:numPr>
          <w:ilvl w:val="0"/>
          <w:numId w:val="1007"/>
        </w:numPr>
      </w:pPr>
      <w:r>
        <w:t xml:space="preserve">A multigenerational CPU collaboration with Meta</w:t>
      </w:r>
    </w:p>
    <w:p>
      <w:pPr>
        <w:pStyle w:val="Compact"/>
        <w:numPr>
          <w:ilvl w:val="0"/>
          <w:numId w:val="1007"/>
        </w:numPr>
      </w:pPr>
      <w:r>
        <w:t xml:space="preserve">Work with Microsoft around its high-bandwidth-compute architecture</w:t>
      </w:r>
    </w:p>
    <w:p>
      <w:pPr>
        <w:pStyle w:val="Compact"/>
        <w:numPr>
          <w:ilvl w:val="0"/>
          <w:numId w:val="1007"/>
        </w:numPr>
      </w:pPr>
      <w:r>
        <w:t xml:space="preserve">Two major hyperscaler custom-silicon wins</w:t>
      </w:r>
    </w:p>
    <w:p>
      <w:pPr>
        <w:pStyle w:val="Compact"/>
        <w:numPr>
          <w:ilvl w:val="0"/>
          <w:numId w:val="1007"/>
        </w:numPr>
      </w:pPr>
      <w:r>
        <w:t xml:space="preserve">The planned acquisition of Modular to provide an open AI software layer</w:t>
      </w:r>
    </w:p>
    <w:p>
      <w:pPr>
        <w:pStyle w:val="FirstParagraph"/>
      </w:pPr>
      <w:r>
        <w:t xml:space="preserve">Little of this should affect the reported Q3 numbers. But the call will be the first major opportunity after Investor Day to assess whether schedules, customer commitments and revenue targets remain intact.</w:t>
      </w:r>
    </w:p>
    <w:p>
      <w:pPr>
        <w:pStyle w:val="BodyText"/>
      </w:pPr>
      <w:r>
        <w:t xml:space="preserve">Key questions include:</w:t>
      </w:r>
    </w:p>
    <w:p>
      <w:pPr>
        <w:pStyle w:val="Compact"/>
        <w:numPr>
          <w:ilvl w:val="0"/>
          <w:numId w:val="1008"/>
        </w:numPr>
      </w:pPr>
      <w:r>
        <w:t xml:space="preserve">Is the fiscal 2027 $5 billion target unchanged?</w:t>
      </w:r>
    </w:p>
    <w:p>
      <w:pPr>
        <w:pStyle w:val="Compact"/>
        <w:numPr>
          <w:ilvl w:val="0"/>
          <w:numId w:val="1008"/>
        </w:numPr>
      </w:pPr>
      <w:r>
        <w:t xml:space="preserve">Are the first custom-silicon products still on schedule for the December quarter?</w:t>
      </w:r>
    </w:p>
    <w:p>
      <w:pPr>
        <w:pStyle w:val="Compact"/>
        <w:numPr>
          <w:ilvl w:val="0"/>
          <w:numId w:val="1008"/>
        </w:numPr>
      </w:pPr>
      <w:r>
        <w:t xml:space="preserve">How much fiscal 2027 revenue is already committed versus pipeline?</w:t>
      </w:r>
    </w:p>
    <w:p>
      <w:pPr>
        <w:pStyle w:val="Compact"/>
        <w:numPr>
          <w:ilvl w:val="0"/>
          <w:numId w:val="1008"/>
        </w:numPr>
      </w:pPr>
      <w:r>
        <w:t xml:space="preserve">How much incremental operating expense is required before accelerator and CPU revenue ramps?</w:t>
      </w:r>
    </w:p>
    <w:p>
      <w:pPr>
        <w:pStyle w:val="Compact"/>
        <w:numPr>
          <w:ilvl w:val="0"/>
          <w:numId w:val="1008"/>
        </w:numPr>
      </w:pPr>
      <w:r>
        <w:t xml:space="preserve">Can data-center growth remain accretive to operating margin despite custom-silicon gross margins being below Qualcomm’s corporate average?</w:t>
      </w:r>
    </w:p>
    <w:p>
      <w:pPr>
        <w:pStyle w:val="FirstParagraph"/>
      </w:pPr>
      <w:r>
        <w:t xml:space="preserve">Because the data-center targets are now embedded in the investment case, even minor signs of timing slippage could have an outsized stock impact.</w:t>
      </w:r>
    </w:p>
    <w:bookmarkEnd w:id="16"/>
    <w:bookmarkStart w:id="17" w:name="X4656b3951b33db78a64e7c9e3e520de41562253"/>
    <w:p>
      <w:pPr>
        <w:pStyle w:val="Heading2"/>
      </w:pPr>
      <w:r>
        <w:t xml:space="preserve">Issue No. 5: Price increases and QCT margins</w:t>
      </w:r>
    </w:p>
    <w:p>
      <w:pPr>
        <w:pStyle w:val="FirstParagraph"/>
      </w:pPr>
      <w:r>
        <w:t xml:space="preserve">Qualcomm reportedly informed customers that it plans</w:t>
      </w:r>
      <w:r>
        <w:t xml:space="preserve"> </w:t>
      </w:r>
      <w:r>
        <w:rPr>
          <w:b/>
          <w:bCs/>
        </w:rPr>
        <w:t xml:space="preserve">double-digit chip price increases for products shipped after September 1</w:t>
      </w:r>
      <w:r>
        <w:t xml:space="preserve">.</w:t>
      </w:r>
    </w:p>
    <w:p>
      <w:pPr>
        <w:pStyle w:val="BodyText"/>
      </w:pPr>
      <w:r>
        <w:t xml:space="preserve">The increases should have little or no effect on the June quarter, but they could influence fiscal Q4 and fiscal 2027. Investors should determine whether the move reflects:</w:t>
      </w:r>
    </w:p>
    <w:p>
      <w:pPr>
        <w:pStyle w:val="Compact"/>
        <w:numPr>
          <w:ilvl w:val="0"/>
          <w:numId w:val="1009"/>
        </w:numPr>
      </w:pPr>
      <w:r>
        <w:t xml:space="preserve">Passing through higher manufacturing and input costs</w:t>
      </w:r>
    </w:p>
    <w:p>
      <w:pPr>
        <w:pStyle w:val="Compact"/>
        <w:numPr>
          <w:ilvl w:val="0"/>
          <w:numId w:val="1009"/>
        </w:numPr>
      </w:pPr>
      <w:r>
        <w:t xml:space="preserve">Greater pricing power in premium Snapdragon platforms</w:t>
      </w:r>
    </w:p>
    <w:p>
      <w:pPr>
        <w:pStyle w:val="Compact"/>
        <w:numPr>
          <w:ilvl w:val="0"/>
          <w:numId w:val="1009"/>
        </w:numPr>
      </w:pPr>
      <w:r>
        <w:t xml:space="preserve">Higher product content and performance</w:t>
      </w:r>
    </w:p>
    <w:p>
      <w:pPr>
        <w:pStyle w:val="Compact"/>
        <w:numPr>
          <w:ilvl w:val="0"/>
          <w:numId w:val="1009"/>
        </w:numPr>
      </w:pPr>
      <w:r>
        <w:t xml:space="preserve">An attempt to protect margins as operating expenses rise</w:t>
      </w:r>
    </w:p>
    <w:p>
      <w:pPr>
        <w:pStyle w:val="Compact"/>
        <w:numPr>
          <w:ilvl w:val="0"/>
          <w:numId w:val="1009"/>
        </w:numPr>
      </w:pPr>
      <w:r>
        <w:t xml:space="preserve">Some combination of the above</w:t>
      </w:r>
    </w:p>
    <w:p>
      <w:pPr>
        <w:pStyle w:val="FirstParagraph"/>
      </w:pPr>
      <w:r>
        <w:t xml:space="preserve">The pricing action is potentially positive for revenue and margins, but it could also pressure handset builds in an already difficult memory-cost environment. Management’s characterization will therefore matter as much as the price increase itself.</w:t>
      </w:r>
    </w:p>
    <w:p>
      <w:pPr>
        <w:pStyle w:val="BodyText"/>
      </w:pPr>
      <w:r>
        <w:t xml:space="preserve">QCT EBT margin is guided to 25%–27%, versus 30% a year earlier. Holding near the top of that range despite the handset decline would be a positive signal.</w:t>
      </w:r>
    </w:p>
    <w:bookmarkEnd w:id="17"/>
    <w:bookmarkStart w:id="18" w:name="X65e4dc15669820b4bb2ccac9422bfe209aaa9b9"/>
    <w:p>
      <w:pPr>
        <w:pStyle w:val="Heading2"/>
      </w:pPr>
      <w:r>
        <w:t xml:space="preserve">Capital allocation and balance-sheet considerations</w:t>
      </w:r>
    </w:p>
    <w:p>
      <w:pPr>
        <w:pStyle w:val="FirstParagraph"/>
      </w:pPr>
      <w:r>
        <w:t xml:space="preserve">Qualcomm returned</w:t>
      </w:r>
      <w:r>
        <w:t xml:space="preserve"> </w:t>
      </w:r>
      <w:r>
        <w:rPr>
          <w:b/>
          <w:bCs/>
        </w:rPr>
        <w:t xml:space="preserve">$3.7 billion</w:t>
      </w:r>
      <w:r>
        <w:t xml:space="preserve"> </w:t>
      </w:r>
      <w:r>
        <w:t xml:space="preserve">to shareholders in Q2, including $2.8 billion of repurchases. It completed</w:t>
      </w:r>
      <w:r>
        <w:t xml:space="preserve"> </w:t>
      </w:r>
      <m:oMath>
        <m:r>
          <m:t>5.4</m:t>
        </m:r>
        <m:r>
          <m:t>b</m:t>
        </m:r>
        <m:r>
          <m:t>i</m:t>
        </m:r>
        <m:r>
          <m:t>l</m:t>
        </m:r>
        <m:r>
          <m:t>l</m:t>
        </m:r>
        <m:r>
          <m:t>i</m:t>
        </m:r>
        <m:r>
          <m:t>o</m:t>
        </m:r>
        <m:r>
          <m:t>n</m:t>
        </m:r>
        <m:r>
          <m:t>o</m:t>
        </m:r>
        <m:r>
          <m:t>f</m:t>
        </m:r>
        <m:r>
          <m:t>b</m:t>
        </m:r>
        <m:r>
          <m:t>u</m:t>
        </m:r>
        <m:r>
          <m:t>y</m:t>
        </m:r>
        <m:r>
          <m:t>b</m:t>
        </m:r>
        <m:r>
          <m:t>a</m:t>
        </m:r>
        <m:r>
          <m:t>c</m:t>
        </m:r>
        <m:r>
          <m:t>k</m:t>
        </m:r>
        <m:r>
          <m:t>s</m:t>
        </m:r>
        <m:r>
          <m:t>i</m:t>
        </m:r>
        <m:r>
          <m:t>n</m:t>
        </m:r>
        <m:r>
          <m:t>t</m:t>
        </m:r>
        <m:r>
          <m:t>h</m:t>
        </m:r>
        <m:r>
          <m:t>e</m:t>
        </m:r>
        <m:r>
          <m:t>f</m:t>
        </m:r>
        <m:r>
          <m:t>i</m:t>
        </m:r>
        <m:r>
          <m:t>r</m:t>
        </m:r>
        <m:r>
          <m:t>s</m:t>
        </m:r>
        <m:r>
          <m:t>t</m:t>
        </m:r>
        <m:r>
          <m:t>h</m:t>
        </m:r>
        <m:r>
          <m:t>a</m:t>
        </m:r>
        <m:r>
          <m:t>l</m:t>
        </m:r>
        <m:r>
          <m:t>f</m:t>
        </m:r>
        <m:r>
          <m:t>a</m:t>
        </m:r>
        <m:r>
          <m:t>n</m:t>
        </m:r>
        <m:r>
          <m:t>d</m:t>
        </m:r>
        <m:r>
          <m:t>a</m:t>
        </m:r>
        <m:r>
          <m:t>u</m:t>
        </m:r>
        <m:r>
          <m:t>t</m:t>
        </m:r>
        <m:r>
          <m:t>h</m:t>
        </m:r>
        <m:r>
          <m:t>o</m:t>
        </m:r>
        <m:r>
          <m:t>r</m:t>
        </m:r>
        <m:r>
          <m:t>i</m:t>
        </m:r>
        <m:r>
          <m:t>z</m:t>
        </m:r>
        <m:r>
          <m:t>e</m:t>
        </m:r>
        <m:r>
          <m:t>d</m:t>
        </m:r>
        <m:r>
          <m:t>a</m:t>
        </m:r>
        <m:r>
          <m:t>n</m:t>
        </m:r>
        <m:r>
          <m:t>e</m:t>
        </m:r>
        <m:r>
          <m:t>w</m:t>
        </m:r>
        <m:r>
          <m:rPr>
            <m:sty m:val="p"/>
          </m:rPr>
          <m:t>*</m:t>
        </m:r>
        <m:r>
          <m:rPr>
            <m:sty m:val="p"/>
          </m:rPr>
          <m:t>*</m:t>
        </m:r>
      </m:oMath>
      <w:r>
        <w:t xml:space="preserve">20 billion** repurchase program.</w:t>
      </w:r>
    </w:p>
    <w:p>
      <w:pPr>
        <w:pStyle w:val="BodyText"/>
      </w:pPr>
      <w:r>
        <w:t xml:space="preserve">Two items deserve attention:</w:t>
      </w:r>
    </w:p>
    <w:p>
      <w:pPr>
        <w:pStyle w:val="Compact"/>
        <w:numPr>
          <w:ilvl w:val="0"/>
          <w:numId w:val="1010"/>
        </w:numPr>
      </w:pPr>
      <w:r>
        <w:t xml:space="preserve">Inventory stood at</w:t>
      </w:r>
      <w:r>
        <w:t xml:space="preserve"> </w:t>
      </w:r>
      <w:r>
        <w:rPr>
          <w:b/>
          <w:bCs/>
        </w:rPr>
        <w:t xml:space="preserve">$7.37 billion</w:t>
      </w:r>
      <w:r>
        <w:t xml:space="preserve"> </w:t>
      </w:r>
      <w:r>
        <w:t xml:space="preserve">at the end of Q2, approximately 13% above the fiscal year-end level. Investors should watch whether inventory increased again during the handset correction.</w:t>
      </w:r>
    </w:p>
    <w:p>
      <w:pPr>
        <w:pStyle w:val="Compact"/>
        <w:numPr>
          <w:ilvl w:val="0"/>
          <w:numId w:val="1010"/>
        </w:numPr>
      </w:pPr>
      <w:r>
        <w:t xml:space="preserve">The planned Modular acquisition could involve issuance of up to</w:t>
      </w:r>
      <w:r>
        <w:t xml:space="preserve"> </w:t>
      </w:r>
      <w:r>
        <w:rPr>
          <w:b/>
          <w:bCs/>
        </w:rPr>
        <w:t xml:space="preserve">19.2 million Qualcomm shares</w:t>
      </w:r>
      <w:r>
        <w:t xml:space="preserve">, equivalent to approximately 1.8% of the Q2 share count before considering repurchase offsets.</w:t>
      </w:r>
    </w:p>
    <w:p>
      <w:pPr>
        <w:pStyle w:val="FirstParagraph"/>
      </w:pPr>
      <w:r>
        <w:t xml:space="preserve">Continued buybacks may absorb that dilution, but investors should ask how management is balancing capital returns with rising data-center investment and acquisition-related spending.</w:t>
      </w:r>
    </w:p>
    <w:bookmarkEnd w:id="18"/>
    <w:bookmarkStart w:id="19" w:name="stock-setup"/>
    <w:p>
      <w:pPr>
        <w:pStyle w:val="Heading2"/>
      </w:pPr>
      <w:r>
        <w:t xml:space="preserve">Stock setup</w:t>
      </w:r>
    </w:p>
    <w:p>
      <w:pPr>
        <w:pStyle w:val="FirstParagraph"/>
      </w:pPr>
      <w:r>
        <w:t xml:space="preserve">Through July 28, Qualcomm closed at approximately</w:t>
      </w:r>
      <w:r>
        <w:t xml:space="preserve"> </w:t>
      </w:r>
      <w:r>
        <w:rPr>
          <w:b/>
          <w:bCs/>
        </w:rPr>
        <w:t xml:space="preserve">$162.91</w:t>
      </w:r>
      <w:r>
        <w:t xml:space="preserve">:</w:t>
      </w:r>
    </w:p>
    <w:p>
      <w:pPr>
        <w:pStyle w:val="Compact"/>
        <w:numPr>
          <w:ilvl w:val="0"/>
          <w:numId w:val="1011"/>
        </w:numPr>
      </w:pPr>
      <w:r>
        <w:t xml:space="preserve">Down about</w:t>
      </w:r>
      <w:r>
        <w:t xml:space="preserve"> </w:t>
      </w:r>
      <w:r>
        <w:rPr>
          <w:b/>
          <w:bCs/>
        </w:rPr>
        <w:t xml:space="preserve">9%</w:t>
      </w:r>
      <w:r>
        <w:t xml:space="preserve"> </w:t>
      </w:r>
      <w:r>
        <w:t xml:space="preserve">from the first trading day after its April earnings report</w:t>
      </w:r>
    </w:p>
    <w:p>
      <w:pPr>
        <w:pStyle w:val="Compact"/>
        <w:numPr>
          <w:ilvl w:val="0"/>
          <w:numId w:val="1011"/>
        </w:numPr>
      </w:pPr>
      <w:r>
        <w:t xml:space="preserve">Roughly</w:t>
      </w:r>
      <w:r>
        <w:t xml:space="preserve"> </w:t>
      </w:r>
      <w:r>
        <w:rPr>
          <w:b/>
          <w:bCs/>
        </w:rPr>
        <w:t xml:space="preserve">35% below</w:t>
      </w:r>
      <w:r>
        <w:t xml:space="preserve"> </w:t>
      </w:r>
      <w:r>
        <w:t xml:space="preserve">its late-May high</w:t>
      </w:r>
    </w:p>
    <w:p>
      <w:pPr>
        <w:pStyle w:val="Compact"/>
        <w:numPr>
          <w:ilvl w:val="0"/>
          <w:numId w:val="1011"/>
        </w:numPr>
      </w:pPr>
      <w:r>
        <w:t xml:space="preserve">Materially underperforming the semiconductor ETF over the same post-earnings period</w:t>
      </w:r>
    </w:p>
    <w:p>
      <w:pPr>
        <w:pStyle w:val="FirstParagraph"/>
      </w:pPr>
      <w:r>
        <w:t xml:space="preserve">That decline suggests the stock enters the report with less optimism than it carried around Investor Day. The setup is therefore somewhat de-risked, but the recent semiconductor selloff also means investors may have limited tolerance for weak guidance or data-center execution concerns.</w:t>
      </w:r>
    </w:p>
    <w:bookmarkEnd w:id="19"/>
    <w:bookmarkStart w:id="20" w:name="what-would-constitute-a-good-report"/>
    <w:p>
      <w:pPr>
        <w:pStyle w:val="Heading2"/>
      </w:pPr>
      <w:r>
        <w:t xml:space="preserve">What would constitute a good report?</w:t>
      </w:r>
    </w:p>
    <w:p>
      <w:pPr>
        <w:pStyle w:val="FirstParagraph"/>
      </w:pPr>
      <w:r>
        <w:t xml:space="preserve">A favorable result would likely include most of the following:</w:t>
      </w:r>
    </w:p>
    <w:p>
      <w:pPr>
        <w:pStyle w:val="Compact"/>
        <w:numPr>
          <w:ilvl w:val="0"/>
          <w:numId w:val="1012"/>
        </w:numPr>
      </w:pPr>
      <w:r>
        <w:t xml:space="preserve">Revenue and non-GAAP EPS in the upper half of guidance</w:t>
      </w:r>
    </w:p>
    <w:p>
      <w:pPr>
        <w:pStyle w:val="Compact"/>
        <w:numPr>
          <w:ilvl w:val="0"/>
          <w:numId w:val="1012"/>
        </w:numPr>
      </w:pPr>
      <w:r>
        <w:t xml:space="preserve">Handset revenue at or above approximately $4.9 billion</w:t>
      </w:r>
    </w:p>
    <w:p>
      <w:pPr>
        <w:pStyle w:val="Compact"/>
        <w:numPr>
          <w:ilvl w:val="0"/>
          <w:numId w:val="1012"/>
        </w:numPr>
      </w:pPr>
      <w:r>
        <w:t xml:space="preserve">Explicit confirmation that Chinese Android revenue bottomed in Q3</w:t>
      </w:r>
    </w:p>
    <w:p>
      <w:pPr>
        <w:pStyle w:val="Compact"/>
        <w:numPr>
          <w:ilvl w:val="0"/>
          <w:numId w:val="1012"/>
        </w:numPr>
      </w:pPr>
      <w:r>
        <w:t xml:space="preserve">Fiscal Q4 guidance showing tangible China recovery despite the Apple headwind</w:t>
      </w:r>
    </w:p>
    <w:p>
      <w:pPr>
        <w:pStyle w:val="Compact"/>
        <w:numPr>
          <w:ilvl w:val="0"/>
          <w:numId w:val="1012"/>
        </w:numPr>
      </w:pPr>
      <w:r>
        <w:t xml:space="preserve">QCT EBT margin near 27%</w:t>
      </w:r>
    </w:p>
    <w:p>
      <w:pPr>
        <w:pStyle w:val="Compact"/>
        <w:numPr>
          <w:ilvl w:val="0"/>
          <w:numId w:val="1012"/>
        </w:numPr>
      </w:pPr>
      <w:r>
        <w:t xml:space="preserve">Automotive growth of approximately 50% with the $6 billion-plus exit run rate reiterated</w:t>
      </w:r>
    </w:p>
    <w:p>
      <w:pPr>
        <w:pStyle w:val="Compact"/>
        <w:numPr>
          <w:ilvl w:val="0"/>
          <w:numId w:val="1012"/>
        </w:numPr>
      </w:pPr>
      <w:r>
        <w:t xml:space="preserve">Fiscal 2027 data-center revenue target of $5 billion reaffirmed</w:t>
      </w:r>
    </w:p>
    <w:p>
      <w:pPr>
        <w:pStyle w:val="Compact"/>
        <w:numPr>
          <w:ilvl w:val="0"/>
          <w:numId w:val="1012"/>
        </w:numPr>
      </w:pPr>
      <w:r>
        <w:t xml:space="preserve">No delays to initial custom-silicon shipments</w:t>
      </w:r>
    </w:p>
    <w:p>
      <w:pPr>
        <w:pStyle w:val="Compact"/>
        <w:numPr>
          <w:ilvl w:val="0"/>
          <w:numId w:val="1012"/>
        </w:numPr>
      </w:pPr>
      <w:r>
        <w:t xml:space="preserve">Evidence that price increases can protect margins without causing further demand destruction</w:t>
      </w:r>
    </w:p>
    <w:bookmarkEnd w:id="20"/>
    <w:bookmarkStart w:id="21" w:name="principal-downside-risks"/>
    <w:p>
      <w:pPr>
        <w:pStyle w:val="Heading2"/>
      </w:pPr>
      <w:r>
        <w:t xml:space="preserve">Principal downside risks</w:t>
      </w:r>
    </w:p>
    <w:p>
      <w:pPr>
        <w:pStyle w:val="FirstParagraph"/>
      </w:pPr>
      <w:r>
        <w:t xml:space="preserve">The bearish outcome would be:</w:t>
      </w:r>
    </w:p>
    <w:p>
      <w:pPr>
        <w:pStyle w:val="Compact"/>
        <w:numPr>
          <w:ilvl w:val="0"/>
          <w:numId w:val="1013"/>
        </w:numPr>
      </w:pPr>
      <w:r>
        <w:t xml:space="preserve">Results near or below the bottom half of guidance</w:t>
      </w:r>
    </w:p>
    <w:p>
      <w:pPr>
        <w:pStyle w:val="Compact"/>
        <w:numPr>
          <w:ilvl w:val="0"/>
          <w:numId w:val="1013"/>
        </w:numPr>
      </w:pPr>
      <w:r>
        <w:t xml:space="preserve">Chinese Android inventory correction extending into fiscal Q4</w:t>
      </w:r>
    </w:p>
    <w:p>
      <w:pPr>
        <w:pStyle w:val="Compact"/>
        <w:numPr>
          <w:ilvl w:val="0"/>
          <w:numId w:val="1013"/>
        </w:numPr>
      </w:pPr>
      <w:r>
        <w:t xml:space="preserve">Weak premium-handset demand</w:t>
      </w:r>
    </w:p>
    <w:p>
      <w:pPr>
        <w:pStyle w:val="Compact"/>
        <w:numPr>
          <w:ilvl w:val="0"/>
          <w:numId w:val="1013"/>
        </w:numPr>
      </w:pPr>
      <w:r>
        <w:t xml:space="preserve">Apple’s modem transition overwhelming the Android recovery</w:t>
      </w:r>
    </w:p>
    <w:p>
      <w:pPr>
        <w:pStyle w:val="Compact"/>
        <w:numPr>
          <w:ilvl w:val="0"/>
          <w:numId w:val="1013"/>
        </w:numPr>
      </w:pPr>
      <w:r>
        <w:t xml:space="preserve">QCT margins below 25%</w:t>
      </w:r>
    </w:p>
    <w:p>
      <w:pPr>
        <w:pStyle w:val="Compact"/>
        <w:numPr>
          <w:ilvl w:val="0"/>
          <w:numId w:val="1013"/>
        </w:numPr>
      </w:pPr>
      <w:r>
        <w:t xml:space="preserve">Rising inventory despite reduced handset shipments</w:t>
      </w:r>
    </w:p>
    <w:p>
      <w:pPr>
        <w:pStyle w:val="Compact"/>
        <w:numPr>
          <w:ilvl w:val="0"/>
          <w:numId w:val="1013"/>
        </w:numPr>
      </w:pPr>
      <w:r>
        <w:t xml:space="preserve">Higher data-center operating expenses without greater revenue visibility</w:t>
      </w:r>
    </w:p>
    <w:p>
      <w:pPr>
        <w:pStyle w:val="Compact"/>
        <w:numPr>
          <w:ilvl w:val="0"/>
          <w:numId w:val="1013"/>
        </w:numPr>
      </w:pPr>
      <w:r>
        <w:t xml:space="preserve">Any qualification or delay to the fiscal 2027 data-center target</w:t>
      </w:r>
    </w:p>
    <w:p>
      <w:pPr>
        <w:pStyle w:val="Compact"/>
        <w:numPr>
          <w:ilvl w:val="0"/>
          <w:numId w:val="1013"/>
        </w:numPr>
      </w:pPr>
      <w:r>
        <w:t xml:space="preserve">Price increases interpreted primarily as a reaction to input-cost inflation rather than product pricing power</w:t>
      </w:r>
    </w:p>
    <w:bookmarkEnd w:id="21"/>
    <w:bookmarkStart w:id="22" w:name="bottom-line"/>
    <w:p>
      <w:pPr>
        <w:pStyle w:val="Heading2"/>
      </w:pPr>
      <w:r>
        <w:t xml:space="preserve">Bottom line</w:t>
      </w:r>
    </w:p>
    <w:p>
      <w:pPr>
        <w:pStyle w:val="FirstParagraph"/>
      </w:pPr>
      <w:r>
        <w:t xml:space="preserve">Qualcomm’s fiscal Q3 numbers are expected to show a substantial year-over-year decline, so the reported quarter itself is unlikely to settle the investment debate. The decisive information will be in the outlook.</w:t>
      </w:r>
    </w:p>
    <w:p>
      <w:pPr>
        <w:pStyle w:val="BodyText"/>
      </w:pPr>
      <w:r>
        <w:rPr>
          <w:b/>
          <w:bCs/>
        </w:rPr>
        <w:t xml:space="preserve">The three most important items are:</w:t>
      </w:r>
    </w:p>
    <w:p>
      <w:pPr>
        <w:pStyle w:val="Compact"/>
        <w:numPr>
          <w:ilvl w:val="0"/>
          <w:numId w:val="1014"/>
        </w:numPr>
      </w:pPr>
      <w:r>
        <w:t xml:space="preserve">Whether Chinese Android handset revenue has definitively bottomed</w:t>
      </w:r>
    </w:p>
    <w:p>
      <w:pPr>
        <w:pStyle w:val="Compact"/>
        <w:numPr>
          <w:ilvl w:val="0"/>
          <w:numId w:val="1014"/>
        </w:numPr>
      </w:pPr>
      <w:r>
        <w:t xml:space="preserve">Whether fiscal Q4 can absorb the Apple modem step-down without another earnings reset</w:t>
      </w:r>
    </w:p>
    <w:p>
      <w:pPr>
        <w:pStyle w:val="Compact"/>
        <w:numPr>
          <w:ilvl w:val="0"/>
          <w:numId w:val="1014"/>
        </w:numPr>
      </w:pPr>
      <w:r>
        <w:t xml:space="preserve">Whether management fully reaffirms its aggressive fiscal 2027 data-center ramp</w:t>
      </w:r>
    </w:p>
    <w:p>
      <w:pPr>
        <w:pStyle w:val="FirstParagraph"/>
      </w:pPr>
      <w:r>
        <w:t xml:space="preserve">A clean quarter with an improving handset outlook and unchanged data-center targets could support a meaningful relief move after the stock’s recent decline. Conversely, a delayed China recovery or any retreat from the data-center timetable would reinforce concerns that Qualcomm’s long-term diversification story is arriving too slowly to offset its near-term handset pressures.</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2026-07-29T01:26:13Z</dcterms:created>
  <dcterms:modified xsi:type="dcterms:W3CDTF">2026-07-29T01:26:13Z</dcterms:modified>
</cp:coreProperties>
</file>

<file path=docProps/custom.xml><?xml version="1.0" encoding="utf-8"?>
<Properties xmlns="http://schemas.openxmlformats.org/officeDocument/2006/custom-properties" xmlns:vt="http://schemas.openxmlformats.org/officeDocument/2006/docPropsVTypes"/>
</file>