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qcom-earnings-predictions--2026-07-29"/>
    <w:p>
      <w:pPr>
        <w:pStyle w:val="Heading1"/>
      </w:pPr>
      <w:r>
        <w:t xml:space="preserve">QCOM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(FY26 Q3)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~$9.78B vs. cons $9.64B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 (FY26 Q3)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~$2.31 vs. cons $2.22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QCT handset revenue (FY26 Q3)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~$4.94B vs. cons $4.91B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 (FY26 Q4)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~$10.00B vs. cons $10.25B (FY26 Q4)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diluted EPS (FY26 Q4)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~$2.31 vs. cons $2.43 (FY26 Q4)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QCT handset revenue (FY26 Q4)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~$5.02B vs. cons $5.18B (FY26 Q4)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QCT automotive revenue (FY26 Q4)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~$1.55B vs. cons $1.55B (FY26 Q4)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-7.5% (FOLLOW-THROUGH)</w:t>
            </w:r>
          </w:p>
        </w:tc>
        <w:tc>
          <w:tcPr/>
          <w:p>
            <w:pPr>
              <w:pStyle w:val="Compact"/>
            </w:pPr>
            <w:r>
              <w:t xml:space="preserve">A Q3 revenue/EPS beat of roughly $0.14B and $0.09 is likely overshadowed by implied FY26 Q4 revenue/EPS shortfalls of roughly $0.25B and $0.12. The out-period reset reflects Apple modem-share loss and a less-than-complete China handset recovery, prompting FY26/FY27 estimate cuts even if automotive execution remains solid.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2026-07-29T01:25:43Z</dcterms:created>
  <dcterms:modified xsi:type="dcterms:W3CDTF">2026-07-29T01:25:43Z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