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qualcomm-qcom-fy26-q3-earnings-preview"/>
    <w:p>
      <w:pPr>
        <w:pStyle w:val="Heading1"/>
      </w:pPr>
      <w:r>
        <w:t xml:space="preserve">Qualcomm (QCOM) FY26 Q3 Earnings Preview</w:t>
      </w:r>
    </w:p>
    <w:p>
      <w:pPr>
        <w:pStyle w:val="BlockText"/>
      </w:pPr>
      <w:r>
        <w:rPr>
          <w:b/>
          <w:bCs/>
        </w:rPr>
        <w:t xml:space="preserve">Timing note:</w:t>
      </w:r>
      <w:r>
        <w:t xml:space="preserve"> </w:t>
      </w:r>
      <w:r>
        <w:t xml:space="preserve">Qualcomm reports</w:t>
      </w:r>
      <w:r>
        <w:t xml:space="preserve"> </w:t>
      </w:r>
      <w:r>
        <w:rPr>
          <w:b/>
          <w:bCs/>
        </w:rPr>
        <w:t xml:space="preserve">after the U.S. market close on Wednesday, July 29, 2026</w:t>
      </w:r>
      <w:r>
        <w:t xml:space="preserve">, with its conference call at</w:t>
      </w:r>
      <w:r>
        <w:t xml:space="preserve"> </w:t>
      </w:r>
      <w:r>
        <w:rPr>
          <w:b/>
          <w:bCs/>
        </w:rPr>
        <w:t xml:space="preserve">1:45 p.m. Pacific Time</w:t>
      </w:r>
      <w:r>
        <w:t xml:space="preserve">. The stated event date is today—not tomorrow. (</w:t>
      </w:r>
      <w:hyperlink r:id="rId9">
        <w:r>
          <w:rPr>
            <w:rStyle w:val="Hyperlink"/>
          </w:rPr>
          <w:t xml:space="preserve">investor.qualcomm.com</w:t>
        </w:r>
      </w:hyperlink>
      <w:r>
        <w:t xml:space="preserve">)</w:t>
      </w:r>
    </w:p>
    <w:bookmarkStart w:id="11" w:name="X443559bda7c5c9f6f566c84540feff9e7ace946"/>
    <w:p>
      <w:pPr>
        <w:pStyle w:val="Heading2"/>
      </w:pPr>
      <w:r>
        <w:t xml:space="preserve">Investment view: this is a “trough-and-trajectory” quarter</w:t>
      </w:r>
    </w:p>
    <w:p>
      <w:pPr>
        <w:pStyle w:val="FirstParagraph"/>
      </w:pPr>
      <w:r>
        <w:t xml:space="preserve">Qualcomm’s fiscal Q3 should be a weak reported quarter by design: management guided for a handset-led reset caused by memory-supply constraints, higher memory prices, and inventory drawdowns at Chinese Android OEMs. The more important question is whether Q3 truly marks the trough in China handset shipments—and whether management can credibly frame fiscal Q4 as the start of a recovery.</w:t>
      </w:r>
    </w:p>
    <w:p>
      <w:pPr>
        <w:pStyle w:val="BodyText"/>
      </w:pPr>
      <w:r>
        <w:t xml:space="preserve">The setup is complicated. Near-term handset earnings are under pressure, while the June Investor Day raised the strategic stakes considerably: Qualcomm now targets more than</w:t>
      </w:r>
      <w:r>
        <w:t xml:space="preserve"> </w:t>
      </w:r>
      <m:oMath>
        <m:r>
          <m:t>15</m:t>
        </m:r>
        <m:r>
          <m:t>b</m:t>
        </m:r>
        <m:r>
          <m:t>i</m:t>
        </m:r>
        <m:r>
          <m:t>l</m:t>
        </m:r>
        <m:r>
          <m:t>l</m:t>
        </m:r>
        <m:r>
          <m:t>i</m:t>
        </m:r>
        <m:r>
          <m:t>o</m:t>
        </m:r>
        <m:r>
          <m:t>n</m:t>
        </m:r>
        <m:r>
          <m:t>i</m:t>
        </m:r>
        <m:r>
          <m:t>n</m:t>
        </m:r>
        <m:r>
          <m:t>d</m:t>
        </m:r>
        <m:r>
          <m:t>a</m:t>
        </m:r>
        <m:r>
          <m:t>t</m:t>
        </m:r>
        <m:r>
          <m:t>a</m:t>
        </m:r>
        <m:r>
          <m:rPr>
            <m:sty m:val="p"/>
          </m:rPr>
          <m:t>−</m:t>
        </m:r>
        <m:r>
          <m:t>c</m:t>
        </m:r>
        <m:r>
          <m:t>e</m:t>
        </m:r>
        <m:r>
          <m:t>n</m:t>
        </m:r>
        <m:r>
          <m:t>t</m:t>
        </m:r>
        <m:r>
          <m:t>e</m:t>
        </m:r>
        <m:r>
          <m:t>r</m:t>
        </m:r>
        <m:r>
          <m:t>r</m:t>
        </m:r>
        <m:r>
          <m:t>e</m:t>
        </m:r>
        <m:r>
          <m:t>v</m:t>
        </m:r>
        <m:r>
          <m:t>e</m:t>
        </m:r>
        <m:r>
          <m:t>n</m:t>
        </m:r>
        <m:r>
          <m:t>u</m:t>
        </m:r>
        <m:r>
          <m:t>e</m:t>
        </m:r>
        <m:r>
          <m:rPr>
            <m:sty m:val="p"/>
          </m:rPr>
          <m:t>*</m:t>
        </m:r>
        <m:r>
          <m:rPr>
            <m:sty m:val="p"/>
          </m:rPr>
          <m:t>*</m:t>
        </m:r>
        <m:r>
          <m:rPr>
            <m:sty m:val="p"/>
          </m:rPr>
          <m:t>,</m:t>
        </m:r>
        <m:r>
          <m:rPr>
            <m:sty m:val="p"/>
          </m:rPr>
          <m:t>*</m:t>
        </m:r>
        <m:r>
          <m:rPr>
            <m:sty m:val="p"/>
          </m:rPr>
          <m:t>*</m:t>
        </m:r>
      </m:oMath>
      <w:r>
        <w:rPr>
          <w:b/>
          <w:bCs/>
        </w:rPr>
        <w:t xml:space="preserve">10 billion in automotive revenue</w:t>
      </w:r>
      <w:r>
        <w:t xml:space="preserve">, and more than</w:t>
      </w:r>
      <w:r>
        <w:t xml:space="preserve"> </w:t>
      </w:r>
      <w:r>
        <w:rPr>
          <w:b/>
          <w:bCs/>
        </w:rPr>
        <w:t xml:space="preserve">$40 billion in non-handset revenue</w:t>
      </w:r>
      <w:r>
        <w:t xml:space="preserve"> </w:t>
      </w:r>
      <w:r>
        <w:t xml:space="preserve">by FY29. Those are multi-year targets, not near-term earnings contributors, but they raise the premium investors may assign to evidence of execution. (</w:t>
      </w:r>
      <w:hyperlink r:id="rId10">
        <w:r>
          <w:rPr>
            <w:rStyle w:val="Hyperlink"/>
          </w:rPr>
          <w:t xml:space="preserve">investor.qualcomm.com</w:t>
        </w:r>
      </w:hyperlink>
      <w:r>
        <w:t xml:space="preserve">)</w:t>
      </w:r>
    </w:p>
    <w:p>
      <w:pPr>
        <w:pStyle w:val="BodyText"/>
      </w:pPr>
      <w:r>
        <w:rPr>
          <w:b/>
          <w:bCs/>
        </w:rPr>
        <w:t xml:space="preserve">Bottom line:</w:t>
      </w:r>
      <w:r>
        <w:t xml:space="preserve"> </w:t>
      </w:r>
      <w:r>
        <w:t xml:space="preserve">A modest Q3 beat alone may not be enough. A constructive Q4 handset outlook, confirmation that China inventory normalization is underway, and tangible data-center/customer milestones are likely to matter more for the stock.</w:t>
      </w:r>
    </w:p>
    <w:p>
      <w:r>
        <w:pict>
          <v:rect style="width:0;height:1.5pt" o:hralign="center" o:hrstd="t" o:hr="t"/>
        </w:pict>
      </w:r>
    </w:p>
    <w:bookmarkEnd w:id="11"/>
    <w:bookmarkStart w:id="12" w:name="the-scorecard-qualcomms-own-q3-guide"/>
    <w:p>
      <w:pPr>
        <w:pStyle w:val="Heading2"/>
      </w:pPr>
      <w:r>
        <w:t xml:space="preserve">The scorecard: Qualcomm’s own Q3 guide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w:t>
            </w:r>
          </w:p>
        </w:tc>
        <w:tc>
          <w:tcPr/>
          <w:p>
            <w:pPr>
              <w:pStyle w:val="Compact"/>
              <w:jc w:val="right"/>
            </w:pPr>
            <w:r>
              <w:t xml:space="preserve">Q3 FY26 guidance</w:t>
            </w:r>
          </w:p>
        </w:tc>
        <w:tc>
          <w:tcPr/>
          <w:p>
            <w:pPr>
              <w:pStyle w:val="Compact"/>
              <w:jc w:val="right"/>
            </w:pPr>
            <w:r>
              <w:t xml:space="preserve">Midpoint</w:t>
            </w:r>
          </w:p>
        </w:tc>
        <w:tc>
          <w:tcPr/>
          <w:p>
            <w:pPr>
              <w:pStyle w:val="Compact"/>
              <w:jc w:val="right"/>
            </w:pPr>
            <w:r>
              <w:t xml:space="preserve">Q3 FY25 actual</w:t>
            </w:r>
          </w:p>
        </w:tc>
        <w:tc>
          <w:tcPr/>
          <w:p>
            <w:pPr>
              <w:pStyle w:val="Compact"/>
              <w:jc w:val="right"/>
            </w:pPr>
            <w:r>
              <w:t xml:space="preserve">Midpoint YoY</w:t>
            </w:r>
          </w:p>
        </w:tc>
      </w:tr>
      <w:tr>
        <w:tc>
          <w:tcPr/>
          <w:p>
            <w:pPr>
              <w:pStyle w:val="Compact"/>
            </w:pPr>
            <w:r>
              <w:t xml:space="preserve">Revenue</w:t>
            </w:r>
          </w:p>
        </w:tc>
        <w:tc>
          <w:tcPr/>
          <w:p>
            <w:pPr>
              <w:pStyle w:val="Compact"/>
              <w:jc w:val="right"/>
            </w:pPr>
            <m:oMath>
              <m:r>
                <m:t>9.2</m:t>
              </m:r>
              <m:r>
                <m:t>B</m:t>
              </m:r>
              <m:r>
                <m:rPr>
                  <m:sty m:val="p"/>
                </m:rPr>
                <m:t>–</m:t>
              </m:r>
            </m:oMath>
            <w:r>
              <w:t xml:space="preserve">10.0B</w:t>
            </w:r>
          </w:p>
        </w:tc>
        <w:tc>
          <w:tcPr/>
          <w:p>
            <w:pPr>
              <w:pStyle w:val="Compact"/>
              <w:jc w:val="right"/>
            </w:pPr>
            <w:r>
              <w:rPr>
                <w:b/>
                <w:bCs/>
              </w:rPr>
              <w:t xml:space="preserve">$9.6B</w:t>
            </w:r>
          </w:p>
        </w:tc>
        <w:tc>
          <w:tcPr/>
          <w:p>
            <w:pPr>
              <w:pStyle w:val="Compact"/>
              <w:jc w:val="right"/>
            </w:pPr>
            <w:r>
              <w:t xml:space="preserve">$10.37B</w:t>
            </w:r>
          </w:p>
        </w:tc>
        <w:tc>
          <w:tcPr/>
          <w:p>
            <w:pPr>
              <w:pStyle w:val="Compact"/>
              <w:jc w:val="right"/>
            </w:pPr>
            <w:r>
              <w:rPr>
                <w:b/>
                <w:bCs/>
              </w:rPr>
              <w:t xml:space="preserve">-7%</w:t>
            </w:r>
          </w:p>
        </w:tc>
      </w:tr>
      <w:tr>
        <w:tc>
          <w:tcPr/>
          <w:p>
            <w:pPr>
              <w:pStyle w:val="Compact"/>
            </w:pPr>
            <w:r>
              <w:t xml:space="preserve">QCT revenue</w:t>
            </w:r>
          </w:p>
        </w:tc>
        <w:tc>
          <w:tcPr/>
          <w:p>
            <w:pPr>
              <w:pStyle w:val="Compact"/>
              <w:jc w:val="right"/>
            </w:pPr>
            <m:oMath>
              <m:r>
                <m:t>7.9</m:t>
              </m:r>
              <m:r>
                <m:t>B</m:t>
              </m:r>
              <m:r>
                <m:rPr>
                  <m:sty m:val="p"/>
                </m:rPr>
                <m:t>–</m:t>
              </m:r>
            </m:oMath>
            <w:r>
              <w:t xml:space="preserve">8.5B</w:t>
            </w:r>
          </w:p>
        </w:tc>
        <w:tc>
          <w:tcPr/>
          <w:p>
            <w:pPr>
              <w:pStyle w:val="Compact"/>
              <w:jc w:val="right"/>
            </w:pPr>
            <w:r>
              <w:rPr>
                <w:b/>
                <w:bCs/>
              </w:rPr>
              <w:t xml:space="preserve">$8.2B</w:t>
            </w:r>
          </w:p>
        </w:tc>
        <w:tc>
          <w:tcPr/>
          <w:p>
            <w:pPr>
              <w:pStyle w:val="Compact"/>
              <w:jc w:val="right"/>
            </w:pPr>
            <w:r>
              <w:t xml:space="preserve">$8.99B</w:t>
            </w:r>
          </w:p>
        </w:tc>
        <w:tc>
          <w:tcPr/>
          <w:p>
            <w:pPr>
              <w:pStyle w:val="Compact"/>
              <w:jc w:val="right"/>
            </w:pPr>
            <w:r>
              <w:rPr>
                <w:b/>
                <w:bCs/>
              </w:rPr>
              <w:t xml:space="preserve">-9%</w:t>
            </w:r>
          </w:p>
        </w:tc>
      </w:tr>
      <w:tr>
        <w:tc>
          <w:tcPr/>
          <w:p>
            <w:pPr>
              <w:pStyle w:val="Compact"/>
            </w:pPr>
            <w:r>
              <w:t xml:space="preserve">QTL revenue</w:t>
            </w:r>
          </w:p>
        </w:tc>
        <w:tc>
          <w:tcPr/>
          <w:p>
            <w:pPr>
              <w:pStyle w:val="Compact"/>
              <w:jc w:val="right"/>
            </w:pPr>
            <m:oMath>
              <m:r>
                <m:t>1.15</m:t>
              </m:r>
              <m:r>
                <m:t>B</m:t>
              </m:r>
              <m:r>
                <m:rPr>
                  <m:sty m:val="p"/>
                </m:rPr>
                <m:t>–</m:t>
              </m:r>
            </m:oMath>
            <w:r>
              <w:t xml:space="preserve">1.35B</w:t>
            </w:r>
          </w:p>
        </w:tc>
        <w:tc>
          <w:tcPr/>
          <w:p>
            <w:pPr>
              <w:pStyle w:val="Compact"/>
              <w:jc w:val="right"/>
            </w:pPr>
            <w:r>
              <w:rPr>
                <w:b/>
                <w:bCs/>
              </w:rPr>
              <w:t xml:space="preserve">$1.25B</w:t>
            </w:r>
          </w:p>
        </w:tc>
        <w:tc>
          <w:tcPr/>
          <w:p>
            <w:pPr>
              <w:pStyle w:val="Compact"/>
              <w:jc w:val="right"/>
            </w:pPr>
            <w:r>
              <w:t xml:space="preserve">$1.32B</w:t>
            </w:r>
          </w:p>
        </w:tc>
        <w:tc>
          <w:tcPr/>
          <w:p>
            <w:pPr>
              <w:pStyle w:val="Compact"/>
              <w:jc w:val="right"/>
            </w:pPr>
            <w:r>
              <w:rPr>
                <w:b/>
                <w:bCs/>
              </w:rPr>
              <w:t xml:space="preserve">-5%</w:t>
            </w:r>
          </w:p>
        </w:tc>
      </w:tr>
      <w:tr>
        <w:tc>
          <w:tcPr/>
          <w:p>
            <w:pPr>
              <w:pStyle w:val="Compact"/>
            </w:pPr>
            <w:r>
              <w:t xml:space="preserve">Non-GAAP diluted EPS</w:t>
            </w:r>
          </w:p>
        </w:tc>
        <w:tc>
          <w:tcPr/>
          <w:p>
            <w:pPr>
              <w:pStyle w:val="Compact"/>
              <w:jc w:val="right"/>
            </w:pPr>
            <m:oMath>
              <m:r>
                <m:t>2.10</m:t>
              </m:r>
              <m:r>
                <m:rPr>
                  <m:sty m:val="p"/>
                </m:rPr>
                <m:t>–</m:t>
              </m:r>
            </m:oMath>
            <w:r>
              <w:t xml:space="preserve">2.30</w:t>
            </w:r>
          </w:p>
        </w:tc>
        <w:tc>
          <w:tcPr/>
          <w:p>
            <w:pPr>
              <w:pStyle w:val="Compact"/>
              <w:jc w:val="right"/>
            </w:pPr>
            <w:r>
              <w:rPr>
                <w:b/>
                <w:bCs/>
              </w:rPr>
              <w:t xml:space="preserve">$2.20</w:t>
            </w:r>
          </w:p>
        </w:tc>
        <w:tc>
          <w:tcPr/>
          <w:p>
            <w:pPr>
              <w:pStyle w:val="Compact"/>
              <w:jc w:val="right"/>
            </w:pPr>
            <w:r>
              <w:t xml:space="preserve">$2.77</w:t>
            </w:r>
          </w:p>
        </w:tc>
        <w:tc>
          <w:tcPr/>
          <w:p>
            <w:pPr>
              <w:pStyle w:val="Compact"/>
              <w:jc w:val="right"/>
            </w:pPr>
            <w:r>
              <w:rPr>
                <w:b/>
                <w:bCs/>
              </w:rPr>
              <w:t xml:space="preserve">-21%</w:t>
            </w:r>
          </w:p>
        </w:tc>
      </w:tr>
      <w:tr>
        <w:tc>
          <w:tcPr/>
          <w:p>
            <w:pPr>
              <w:pStyle w:val="Compact"/>
            </w:pPr>
            <w:r>
              <w:t xml:space="preserve">QCT handset revenue</w:t>
            </w:r>
          </w:p>
        </w:tc>
        <w:tc>
          <w:tcPr/>
          <w:p>
            <w:pPr>
              <w:pStyle w:val="Compact"/>
              <w:jc w:val="right"/>
            </w:pPr>
            <w:r>
              <w:t xml:space="preserve">Approx. $4.9B</w:t>
            </w:r>
          </w:p>
        </w:tc>
        <w:tc>
          <w:tcPr/>
          <w:p>
            <w:pPr>
              <w:pStyle w:val="Compact"/>
              <w:jc w:val="right"/>
            </w:pPr>
            <w:r>
              <w:rPr>
                <w:b/>
                <w:bCs/>
              </w:rPr>
              <w:t xml:space="preserve">$4.9B</w:t>
            </w:r>
          </w:p>
        </w:tc>
        <w:tc>
          <w:tcPr/>
          <w:p>
            <w:pPr>
              <w:pStyle w:val="Compact"/>
              <w:jc w:val="right"/>
            </w:pPr>
            <w:r>
              <w:t xml:space="preserve">$6.33B</w:t>
            </w:r>
          </w:p>
        </w:tc>
        <w:tc>
          <w:tcPr/>
          <w:p>
            <w:pPr>
              <w:pStyle w:val="Compact"/>
              <w:jc w:val="right"/>
            </w:pPr>
            <w:r>
              <w:rPr>
                <w:b/>
                <w:bCs/>
              </w:rPr>
              <w:t xml:space="preserve">-23%</w:t>
            </w:r>
          </w:p>
        </w:tc>
      </w:tr>
    </w:tbl>
    <w:p>
      <w:pPr>
        <w:pStyle w:val="BodyText"/>
      </w:pPr>
      <w:r>
        <w:rPr>
          <w:i/>
          <w:iCs/>
        </w:rPr>
        <w:t xml:space="preserve">Source: Qualcomm Q2 FY26 earnings release and Q3 FY25 earnings release; percentages calculated from reported figures.</w:t>
      </w:r>
    </w:p>
    <w:p>
      <w:pPr>
        <w:pStyle w:val="BodyText"/>
      </w:pPr>
      <w:r>
        <w:t xml:space="preserve">The headline takeaway is clear: the guided year-over-year decline is overwhelmingly a</w:t>
      </w:r>
      <w:r>
        <w:t xml:space="preserve"> </w:t>
      </w:r>
      <w:r>
        <w:rPr>
          <w:b/>
          <w:bCs/>
        </w:rPr>
        <w:t xml:space="preserve">handset problem</w:t>
      </w:r>
      <w:r>
        <w:t xml:space="preserve">, not a broad breakdown in diversification businesses. That distinction will be central to management’s message.</w:t>
      </w:r>
    </w:p>
    <w:p>
      <w:r>
        <w:pict>
          <v:rect style="width:0;height:1.5pt" o:hralign="center" o:hrstd="t" o:hr="t"/>
        </w:pict>
      </w:r>
    </w:p>
    <w:bookmarkEnd w:id="12"/>
    <w:bookmarkStart w:id="18" w:name="what-matters-most"/>
    <w:p>
      <w:pPr>
        <w:pStyle w:val="Heading2"/>
      </w:pPr>
      <w:r>
        <w:t xml:space="preserve">What matters most</w:t>
      </w:r>
    </w:p>
    <w:bookmarkStart w:id="13" w:name="X8f6b81c9e3596ac48e9c333b0878d8a9cd36c1c"/>
    <w:p>
      <w:pPr>
        <w:pStyle w:val="Heading3"/>
      </w:pPr>
      <w:r>
        <w:t xml:space="preserve">1. Is China Android handset revenue actually bottoming?</w:t>
      </w:r>
    </w:p>
    <w:p>
      <w:pPr>
        <w:pStyle w:val="FirstParagraph"/>
      </w:pPr>
      <w:r>
        <w:t xml:space="preserve">This is the key call item.</w:t>
      </w:r>
    </w:p>
    <w:p>
      <w:pPr>
        <w:pStyle w:val="BodyText"/>
      </w:pPr>
      <w:r>
        <w:t xml:space="preserve">In fiscal Q2, Qualcomm said handset OEMs—particularly in China—were reducing builds and consuming channel inventory because memory availability and pricing had become challenging. Management guided Q3 handset revenue to roughly</w:t>
      </w:r>
      <w:r>
        <w:t xml:space="preserve"> </w:t>
      </w:r>
      <w:r>
        <w:rPr>
          <w:b/>
          <w:bCs/>
        </w:rPr>
        <w:t xml:space="preserve">$4.9 billion</w:t>
      </w:r>
      <w:r>
        <w:t xml:space="preserve"> </w:t>
      </w:r>
      <w:r>
        <w:t xml:space="preserve">and stated that QCT handset revenue from Chinese customers should bottom in Q3 before returning to sequential growth in Q4.</w:t>
      </w:r>
    </w:p>
    <w:p>
      <w:pPr>
        <w:pStyle w:val="BodyText"/>
      </w:pPr>
      <w:r>
        <w:t xml:space="preserve">Investors should focus on three points:</w:t>
      </w:r>
    </w:p>
    <w:p>
      <w:pPr>
        <w:pStyle w:val="Compact"/>
        <w:numPr>
          <w:ilvl w:val="0"/>
          <w:numId w:val="1001"/>
        </w:numPr>
      </w:pPr>
      <w:r>
        <w:rPr>
          <w:b/>
          <w:bCs/>
        </w:rPr>
        <w:t xml:space="preserve">Actual QCT handset revenue versus the ~$4.9B guidepost.</w:t>
      </w:r>
    </w:p>
    <w:p>
      <w:pPr>
        <w:pStyle w:val="Compact"/>
        <w:numPr>
          <w:ilvl w:val="0"/>
          <w:numId w:val="1001"/>
        </w:numPr>
      </w:pPr>
      <w:r>
        <w:t xml:space="preserve">Whether management still characterizes the Chinese channel drawdown as largely complete.</w:t>
      </w:r>
    </w:p>
    <w:p>
      <w:pPr>
        <w:pStyle w:val="Compact"/>
        <w:numPr>
          <w:ilvl w:val="0"/>
          <w:numId w:val="1001"/>
        </w:numPr>
      </w:pPr>
      <w:r>
        <w:t xml:space="preserve">The implied</w:t>
      </w:r>
      <w:r>
        <w:t xml:space="preserve"> </w:t>
      </w:r>
      <w:r>
        <w:rPr>
          <w:b/>
          <w:bCs/>
        </w:rPr>
        <w:t xml:space="preserve">sequential trajectory for fiscal Q4</w:t>
      </w:r>
      <w:r>
        <w:t xml:space="preserve">, where a China recovery must contend with the expected Apple modem-content step-down.</w:t>
      </w:r>
    </w:p>
    <w:p>
      <w:pPr>
        <w:pStyle w:val="FirstParagraph"/>
      </w:pPr>
      <w:r>
        <w:t xml:space="preserve">A clean message that sell-through is holding, inventory is normalizing, and Chinese OEM purchases are returning toward end-demand would support the “Q3 trough” thesis. Conversely, any extension of memory-related demand destruction or incremental weakness in premium Android would challenge it.</w:t>
      </w:r>
    </w:p>
    <w:bookmarkEnd w:id="13"/>
    <w:bookmarkStart w:id="14" w:name="X70d5eb7e0ed06804e62054c6cf0f2ea506fa9bb"/>
    <w:p>
      <w:pPr>
        <w:pStyle w:val="Heading3"/>
      </w:pPr>
      <w:r>
        <w:t xml:space="preserve">2. Guidance matters more than the Q3 print</w:t>
      </w:r>
    </w:p>
    <w:p>
      <w:pPr>
        <w:pStyle w:val="FirstParagraph"/>
      </w:pPr>
      <w:r>
        <w:t xml:space="preserve">Qualcomm’s quarter is already heavily framed by its April guide. The likely stock-moving variable is fiscal Q4 guidance, especially:</w:t>
      </w:r>
    </w:p>
    <w:p>
      <w:pPr>
        <w:pStyle w:val="Compact"/>
        <w:numPr>
          <w:ilvl w:val="0"/>
          <w:numId w:val="1002"/>
        </w:numPr>
      </w:pPr>
      <w:r>
        <w:rPr>
          <w:b/>
          <w:bCs/>
        </w:rPr>
        <w:t xml:space="preserve">Handset revenue:</w:t>
      </w:r>
      <w:r>
        <w:t xml:space="preserve"> </w:t>
      </w:r>
      <w:r>
        <w:t xml:space="preserve">Can China recovery more than offset lower Apple content?</w:t>
      </w:r>
    </w:p>
    <w:p>
      <w:pPr>
        <w:pStyle w:val="Compact"/>
        <w:numPr>
          <w:ilvl w:val="0"/>
          <w:numId w:val="1002"/>
        </w:numPr>
      </w:pPr>
      <w:r>
        <w:rPr>
          <w:b/>
          <w:bCs/>
        </w:rPr>
        <w:t xml:space="preserve">QCT margin:</w:t>
      </w:r>
      <w:r>
        <w:t xml:space="preserve"> </w:t>
      </w:r>
      <w:r>
        <w:t xml:space="preserve">Q2 guidance was for a 25%–27% QCT EBT margin in Q3, below the 30% achieved a year earlier. Investors will want to know whether mix, pricing, utilization, and supply costs allow a recovery.</w:t>
      </w:r>
    </w:p>
    <w:p>
      <w:pPr>
        <w:pStyle w:val="Compact"/>
        <w:numPr>
          <w:ilvl w:val="0"/>
          <w:numId w:val="1002"/>
        </w:numPr>
      </w:pPr>
      <w:r>
        <w:rPr>
          <w:b/>
          <w:bCs/>
        </w:rPr>
        <w:t xml:space="preserve">QTL revenue and margin:</w:t>
      </w:r>
      <w:r>
        <w:t xml:space="preserve"> </w:t>
      </w:r>
      <w:r>
        <w:t xml:space="preserve">Licensing is typically more resilient and highly profitable, but it is still linked to handset units and device mix. A better-than-feared QTL outlook would help offset chip volatility.</w:t>
      </w:r>
    </w:p>
    <w:p>
      <w:pPr>
        <w:pStyle w:val="Compact"/>
        <w:numPr>
          <w:ilvl w:val="0"/>
          <w:numId w:val="1002"/>
        </w:numPr>
      </w:pPr>
      <w:r>
        <w:rPr>
          <w:b/>
          <w:bCs/>
        </w:rPr>
        <w:t xml:space="preserve">Operating expenses:</w:t>
      </w:r>
      <w:r>
        <w:t xml:space="preserve"> </w:t>
      </w:r>
      <w:r>
        <w:t xml:space="preserve">Qualcomm is investing heavily in data center, AI software, robotics, automotive ADAS, and edge AI. The question is whether spending is disciplined while new businesses remain early in their revenue ramps.</w:t>
      </w:r>
    </w:p>
    <w:p>
      <w:pPr>
        <w:pStyle w:val="FirstParagraph"/>
      </w:pPr>
      <w:r>
        <w:t xml:space="preserve">The constructive outcome is a Q4 guide that demonstrates sequential handset growth, stable licensing economics, and manageable margin pressure. The bear case is that memory constraints and higher device bills of materials delay the expected recovery.</w:t>
      </w:r>
    </w:p>
    <w:bookmarkEnd w:id="14"/>
    <w:bookmarkStart w:id="15" w:name="X10737f3c97f4f35f43a413ea0d27220fba55222"/>
    <w:p>
      <w:pPr>
        <w:pStyle w:val="Heading3"/>
      </w:pPr>
      <w:r>
        <w:t xml:space="preserve">3. Automotive should remain the strongest current growth engine</w:t>
      </w:r>
    </w:p>
    <w:p>
      <w:pPr>
        <w:pStyle w:val="FirstParagraph"/>
      </w:pPr>
      <w:r>
        <w:t xml:space="preserve">Automotive is the clearest near-term offset to handset weakness. Qualcomm guided fiscal Q3 automotive revenue growth to accelerate to roughly</w:t>
      </w:r>
      <w:r>
        <w:t xml:space="preserve"> </w:t>
      </w:r>
      <w:r>
        <w:rPr>
          <w:b/>
          <w:bCs/>
        </w:rPr>
        <w:t xml:space="preserve">50% year over year</w:t>
      </w:r>
      <w:r>
        <w:t xml:space="preserve">, following Q2 automotive revenue of</w:t>
      </w:r>
      <w:r>
        <w:t xml:space="preserve"> </w:t>
      </w:r>
      <w:r>
        <w:rPr>
          <w:b/>
          <w:bCs/>
        </w:rPr>
        <w:t xml:space="preserve">$1.33 billion</w:t>
      </w:r>
      <w:r>
        <w:t xml:space="preserve">, up</w:t>
      </w:r>
      <w:r>
        <w:t xml:space="preserve"> </w:t>
      </w:r>
      <w:r>
        <w:rPr>
          <w:b/>
          <w:bCs/>
        </w:rPr>
        <w:t xml:space="preserve">38% year over year</w:t>
      </w:r>
      <w:r>
        <w:t xml:space="preserve">.</w:t>
      </w:r>
    </w:p>
    <w:p>
      <w:pPr>
        <w:pStyle w:val="BodyText"/>
      </w:pPr>
      <w:r>
        <w:t xml:space="preserve">The earnings call should clarify:</w:t>
      </w:r>
    </w:p>
    <w:p>
      <w:pPr>
        <w:pStyle w:val="Compact"/>
        <w:numPr>
          <w:ilvl w:val="0"/>
          <w:numId w:val="1003"/>
        </w:numPr>
      </w:pPr>
      <w:r>
        <w:t xml:space="preserve">Whether automotive growth met or exceeded the ~50% target.</w:t>
      </w:r>
    </w:p>
    <w:p>
      <w:pPr>
        <w:pStyle w:val="Compact"/>
        <w:numPr>
          <w:ilvl w:val="0"/>
          <w:numId w:val="1003"/>
        </w:numPr>
      </w:pPr>
      <w:r>
        <w:t xml:space="preserve">Progress in ADAS versus digital cockpit, particularly as higher-content platforms ramp.</w:t>
      </w:r>
    </w:p>
    <w:p>
      <w:pPr>
        <w:pStyle w:val="Compact"/>
        <w:numPr>
          <w:ilvl w:val="0"/>
          <w:numId w:val="1003"/>
        </w:numPr>
      </w:pPr>
      <w:r>
        <w:t xml:space="preserve">Whether the company remains on pace to exit FY26 above a</w:t>
      </w:r>
      <w:r>
        <w:t xml:space="preserve"> </w:t>
      </w:r>
      <w:r>
        <w:rPr>
          <w:b/>
          <w:bCs/>
        </w:rPr>
        <w:t xml:space="preserve">$6 billion annualized automotive revenue run rate</w:t>
      </w:r>
      <w:r>
        <w:t xml:space="preserve">.</w:t>
      </w:r>
    </w:p>
    <w:p>
      <w:pPr>
        <w:pStyle w:val="Compact"/>
        <w:numPr>
          <w:ilvl w:val="0"/>
          <w:numId w:val="1003"/>
        </w:numPr>
      </w:pPr>
      <w:r>
        <w:t xml:space="preserve">Any updates to the</w:t>
      </w:r>
      <w:r>
        <w:t xml:space="preserve"> </w:t>
      </w:r>
      <m:oMath>
        <m:r>
          <m:t>65</m:t>
        </m:r>
        <m:r>
          <m:t>b</m:t>
        </m:r>
        <m:r>
          <m:t>i</m:t>
        </m:r>
        <m:r>
          <m:t>l</m:t>
        </m:r>
        <m:r>
          <m:t>l</m:t>
        </m:r>
        <m:r>
          <m:t>i</m:t>
        </m:r>
        <m:r>
          <m:t>o</m:t>
        </m:r>
        <m:r>
          <m:t>n</m:t>
        </m:r>
        <m:r>
          <m:t>a</m:t>
        </m:r>
        <m:r>
          <m:t>u</m:t>
        </m:r>
        <m:r>
          <m:t>t</m:t>
        </m:r>
        <m:r>
          <m:t>o</m:t>
        </m:r>
        <m:r>
          <m:t>m</m:t>
        </m:r>
        <m:r>
          <m:t>o</m:t>
        </m:r>
        <m:r>
          <m:t>t</m:t>
        </m:r>
        <m:r>
          <m:t>i</m:t>
        </m:r>
        <m:r>
          <m:t>v</m:t>
        </m:r>
        <m:r>
          <m:t>e</m:t>
        </m:r>
        <m:r>
          <m:t>d</m:t>
        </m:r>
        <m:r>
          <m:t>e</m:t>
        </m:r>
        <m:r>
          <m:t>s</m:t>
        </m:r>
        <m:r>
          <m:t>i</m:t>
        </m:r>
        <m:r>
          <m:t>g</m:t>
        </m:r>
        <m:r>
          <m:t>n</m:t>
        </m:r>
        <m:r>
          <m:rPr>
            <m:sty m:val="p"/>
          </m:rPr>
          <m:t>−</m:t>
        </m:r>
        <m:r>
          <m:t>w</m:t>
        </m:r>
        <m:r>
          <m:t>i</m:t>
        </m:r>
        <m:r>
          <m:t>n</m:t>
        </m:r>
        <m:r>
          <m:t>p</m:t>
        </m:r>
        <m:r>
          <m:t>i</m:t>
        </m:r>
        <m:r>
          <m:t>p</m:t>
        </m:r>
        <m:r>
          <m:t>e</m:t>
        </m:r>
        <m:r>
          <m:t>l</m:t>
        </m:r>
        <m:r>
          <m:t>i</m:t>
        </m:r>
        <m:r>
          <m:t>n</m:t>
        </m:r>
        <m:r>
          <m:t>e</m:t>
        </m:r>
        <m:r>
          <m:rPr>
            <m:sty m:val="p"/>
          </m:rPr>
          <m:t>*</m:t>
        </m:r>
        <m:r>
          <m:rPr>
            <m:sty m:val="p"/>
          </m:rPr>
          <m:t>*</m:t>
        </m:r>
        <m:r>
          <m:t>a</m:t>
        </m:r>
        <m:r>
          <m:t>n</m:t>
        </m:r>
        <m:r>
          <m:t>d</m:t>
        </m:r>
        <m:r>
          <m:t>t</m:t>
        </m:r>
        <m:r>
          <m:t>h</m:t>
        </m:r>
        <m:r>
          <m:t>e</m:t>
        </m:r>
        <m:r>
          <m:t>F</m:t>
        </m:r>
        <m:r>
          <m:t>Y</m:t>
        </m:r>
        <m:r>
          <m:t>29</m:t>
        </m:r>
        <m:r>
          <m:t>a</m:t>
        </m:r>
        <m:r>
          <m:t>u</m:t>
        </m:r>
        <m:r>
          <m:t>t</m:t>
        </m:r>
        <m:r>
          <m:t>o</m:t>
        </m:r>
        <m:r>
          <m:t>m</m:t>
        </m:r>
        <m:r>
          <m:t>o</m:t>
        </m:r>
        <m:r>
          <m:t>t</m:t>
        </m:r>
        <m:r>
          <m:t>i</m:t>
        </m:r>
        <m:r>
          <m:t>v</m:t>
        </m:r>
        <m:r>
          <m:t>e</m:t>
        </m:r>
        <m:r>
          <m:t>t</m:t>
        </m:r>
        <m:r>
          <m:t>a</m:t>
        </m:r>
        <m:r>
          <m:t>r</m:t>
        </m:r>
        <m:r>
          <m:t>g</m:t>
        </m:r>
        <m:r>
          <m:t>e</m:t>
        </m:r>
        <m:r>
          <m:t>t</m:t>
        </m:r>
        <m:r>
          <m:t>o</m:t>
        </m:r>
        <m:r>
          <m:t>f</m:t>
        </m:r>
        <m:r>
          <m:rPr>
            <m:sty m:val="p"/>
          </m:rPr>
          <m:t>*</m:t>
        </m:r>
        <m:r>
          <m:rPr>
            <m:sty m:val="p"/>
          </m:rPr>
          <m:t>*</m:t>
        </m:r>
      </m:oMath>
      <w:r>
        <w:rPr>
          <w:b/>
          <w:bCs/>
        </w:rPr>
        <w:t xml:space="preserve">10 billion</w:t>
      </w:r>
      <w:r>
        <w:t xml:space="preserve">. (</w:t>
      </w:r>
      <w:hyperlink r:id="rId10">
        <w:r>
          <w:rPr>
            <w:rStyle w:val="Hyperlink"/>
          </w:rPr>
          <w:t xml:space="preserve">investor.qualcomm.com</w:t>
        </w:r>
      </w:hyperlink>
      <w:r>
        <w:t xml:space="preserve">)</w:t>
      </w:r>
    </w:p>
    <w:p>
      <w:pPr>
        <w:pStyle w:val="FirstParagraph"/>
      </w:pPr>
      <w:r>
        <w:t xml:space="preserve">Automotive revenue has long program cycles and is less exposed to quarter-to-quarter handset inventory behavior. Strong execution here would reinforce the diversification narrative, even if it cannot fully neutralize the scale of handset weakness this quarter.</w:t>
      </w:r>
    </w:p>
    <w:bookmarkEnd w:id="15"/>
    <w:bookmarkStart w:id="16" w:name="X7c37315f55a355c89b8c1cb51587baa693bb384"/>
    <w:p>
      <w:pPr>
        <w:pStyle w:val="Heading3"/>
      </w:pPr>
      <w:r>
        <w:t xml:space="preserve">4. IoT: look past the aggregate number</w:t>
      </w:r>
    </w:p>
    <w:p>
      <w:pPr>
        <w:pStyle w:val="FirstParagraph"/>
      </w:pPr>
      <w:r>
        <w:t xml:space="preserve">Qualcomm guided Q3 IoT revenue to grow at a</w:t>
      </w:r>
      <w:r>
        <w:t xml:space="preserve"> </w:t>
      </w:r>
      <w:r>
        <w:rPr>
          <w:b/>
          <w:bCs/>
        </w:rPr>
        <w:t xml:space="preserve">high-single-digit year-over-year</w:t>
      </w:r>
      <w:r>
        <w:t xml:space="preserve"> </w:t>
      </w:r>
      <w:r>
        <w:t xml:space="preserve">rate. That would be a respectable result, but investors should look for qualitative details on:</w:t>
      </w:r>
    </w:p>
    <w:p>
      <w:pPr>
        <w:pStyle w:val="Compact"/>
        <w:numPr>
          <w:ilvl w:val="0"/>
          <w:numId w:val="1004"/>
        </w:numPr>
      </w:pPr>
      <w:r>
        <w:t xml:space="preserve">PCs and Snapdragon X2 adoption;</w:t>
      </w:r>
    </w:p>
    <w:p>
      <w:pPr>
        <w:pStyle w:val="Compact"/>
        <w:numPr>
          <w:ilvl w:val="0"/>
          <w:numId w:val="1004"/>
        </w:numPr>
      </w:pPr>
      <w:r>
        <w:t xml:space="preserve">industrial and edge-networking demand;</w:t>
      </w:r>
    </w:p>
    <w:p>
      <w:pPr>
        <w:pStyle w:val="Compact"/>
        <w:numPr>
          <w:ilvl w:val="0"/>
          <w:numId w:val="1004"/>
        </w:numPr>
      </w:pPr>
      <w:r>
        <w:t xml:space="preserve">smart glasses and personal-AI device design activity;</w:t>
      </w:r>
    </w:p>
    <w:p>
      <w:pPr>
        <w:pStyle w:val="Compact"/>
        <w:numPr>
          <w:ilvl w:val="0"/>
          <w:numId w:val="1004"/>
        </w:numPr>
      </w:pPr>
      <w:r>
        <w:t xml:space="preserve">the conversion of developer and platform investments into revenue;</w:t>
      </w:r>
    </w:p>
    <w:p>
      <w:pPr>
        <w:pStyle w:val="Compact"/>
        <w:numPr>
          <w:ilvl w:val="0"/>
          <w:numId w:val="1004"/>
        </w:numPr>
      </w:pPr>
      <w:r>
        <w:t xml:space="preserve">whether industrial/robotics momentum is becoming material or remains mostly strategic.</w:t>
      </w:r>
    </w:p>
    <w:p>
      <w:pPr>
        <w:pStyle w:val="FirstParagraph"/>
      </w:pPr>
      <w:r>
        <w:t xml:space="preserve">IoT is important because it bridges Qualcomm’s existing edge franchise with its longer-dated “physical AI” opportunity. At Investor Day, Qualcomm set an FY29 IoT target of more than</w:t>
      </w:r>
      <w:r>
        <w:t xml:space="preserve"> </w:t>
      </w:r>
      <m:oMath>
        <m:r>
          <m:t>14</m:t>
        </m:r>
        <m:r>
          <m:t>b</m:t>
        </m:r>
        <m:r>
          <m:t>i</m:t>
        </m:r>
        <m:r>
          <m:t>l</m:t>
        </m:r>
        <m:r>
          <m:t>l</m:t>
        </m:r>
        <m:r>
          <m:t>i</m:t>
        </m:r>
        <m:r>
          <m:t>o</m:t>
        </m:r>
        <m:r>
          <m:t>n</m:t>
        </m:r>
        <m:r>
          <m:rPr>
            <m:sty m:val="p"/>
          </m:rPr>
          <m:t>*</m:t>
        </m:r>
        <m:r>
          <m:rPr>
            <m:sty m:val="p"/>
          </m:rPr>
          <m:t>*</m:t>
        </m:r>
        <m:r>
          <m:rPr>
            <m:sty m:val="p"/>
          </m:rPr>
          <m:t>,</m:t>
        </m:r>
        <m:r>
          <m:t>i</m:t>
        </m:r>
        <m:r>
          <m:t>n</m:t>
        </m:r>
        <m:r>
          <m:t>c</m:t>
        </m:r>
        <m:r>
          <m:t>l</m:t>
        </m:r>
        <m:r>
          <m:t>u</m:t>
        </m:r>
        <m:r>
          <m:t>d</m:t>
        </m:r>
        <m:r>
          <m:t>i</m:t>
        </m:r>
        <m:r>
          <m:t>n</m:t>
        </m:r>
        <m:r>
          <m:t>g</m:t>
        </m:r>
        <m:r>
          <m:rPr>
            <m:sty m:val="p"/>
          </m:rPr>
          <m:t>*</m:t>
        </m:r>
        <m:r>
          <m:rPr>
            <m:sty m:val="p"/>
          </m:rPr>
          <m:t>*</m:t>
        </m:r>
      </m:oMath>
      <w:r>
        <w:rPr>
          <w:b/>
          <w:bCs/>
        </w:rPr>
        <w:t xml:space="preserve">8 billion</w:t>
      </w:r>
      <w:r>
        <w:t xml:space="preserve"> </w:t>
      </w:r>
      <w:r>
        <w:t xml:space="preserve">in industrial, networking, and robotics and</w:t>
      </w:r>
      <w:r>
        <w:t xml:space="preserve"> </w:t>
      </w:r>
      <w:r>
        <w:rPr>
          <w:b/>
          <w:bCs/>
        </w:rPr>
        <w:t xml:space="preserve">$6 billion</w:t>
      </w:r>
      <w:r>
        <w:t xml:space="preserve"> </w:t>
      </w:r>
      <w:r>
        <w:t xml:space="preserve">in personal AI and compute. (</w:t>
      </w:r>
      <w:hyperlink r:id="rId10">
        <w:r>
          <w:rPr>
            <w:rStyle w:val="Hyperlink"/>
          </w:rPr>
          <w:t xml:space="preserve">investor.qualcomm.com</w:t>
        </w:r>
      </w:hyperlink>
      <w:r>
        <w:t xml:space="preserve">)</w:t>
      </w:r>
    </w:p>
    <w:bookmarkEnd w:id="16"/>
    <w:bookmarkStart w:id="17" w:name="Xeb135d92b16e0bb1659b5ae68b68057ab74c991"/>
    <w:p>
      <w:pPr>
        <w:pStyle w:val="Heading3"/>
      </w:pPr>
      <w:r>
        <w:t xml:space="preserve">5. Data center: expectations are high, but revenue is still early</w:t>
      </w:r>
    </w:p>
    <w:p>
      <w:pPr>
        <w:pStyle w:val="FirstParagraph"/>
      </w:pPr>
      <w:r>
        <w:t xml:space="preserve">The June Investor Day transformed the debate around Qualcomm. Management laid out a data-center strategy spanning connectivity, custom silicon, AI accelerators, CPUs, and software, and targets</w:t>
      </w:r>
      <w:r>
        <w:t xml:space="preserve"> </w:t>
      </w:r>
      <w:r>
        <w:rPr>
          <w:b/>
          <w:bCs/>
        </w:rPr>
        <w:t xml:space="preserve">more than $15 billion of data-center revenue by FY29</w:t>
      </w:r>
      <w:r>
        <w:t xml:space="preserve">. (</w:t>
      </w:r>
      <w:hyperlink r:id="rId10">
        <w:r>
          <w:rPr>
            <w:rStyle w:val="Hyperlink"/>
          </w:rPr>
          <w:t xml:space="preserve">investor.qualcomm.com</w:t>
        </w:r>
      </w:hyperlink>
      <w:r>
        <w:t xml:space="preserve">)</w:t>
      </w:r>
    </w:p>
    <w:p>
      <w:pPr>
        <w:pStyle w:val="BodyText"/>
      </w:pPr>
      <w:r>
        <w:t xml:space="preserve">For this earnings report, investors should not expect data center to drive Q3 results. Instead, the call should be evaluated for evidence that de-risks the roadmap:</w:t>
      </w:r>
    </w:p>
    <w:p>
      <w:pPr>
        <w:pStyle w:val="Compact"/>
        <w:numPr>
          <w:ilvl w:val="0"/>
          <w:numId w:val="1005"/>
        </w:numPr>
      </w:pPr>
      <w:r>
        <w:t xml:space="preserve">Is custom-silicon revenue still expected to begin in</w:t>
      </w:r>
      <w:r>
        <w:t xml:space="preserve"> </w:t>
      </w:r>
      <w:r>
        <w:rPr>
          <w:b/>
          <w:bCs/>
        </w:rPr>
        <w:t xml:space="preserve">fiscal Q1 FY27</w:t>
      </w:r>
      <w:r>
        <w:t xml:space="preserve">?</w:t>
      </w:r>
    </w:p>
    <w:p>
      <w:pPr>
        <w:pStyle w:val="Compact"/>
        <w:numPr>
          <w:ilvl w:val="0"/>
          <w:numId w:val="1005"/>
        </w:numPr>
      </w:pPr>
      <w:r>
        <w:t xml:space="preserve">Are the announced hyperscaler engagements progressing on schedule?</w:t>
      </w:r>
    </w:p>
    <w:p>
      <w:pPr>
        <w:pStyle w:val="Compact"/>
        <w:numPr>
          <w:ilvl w:val="0"/>
          <w:numId w:val="1005"/>
        </w:numPr>
      </w:pPr>
      <w:r>
        <w:t xml:space="preserve">Does management offer greater detail on design-win scope, customer concentration, or margin structure?</w:t>
      </w:r>
    </w:p>
    <w:p>
      <w:pPr>
        <w:pStyle w:val="Compact"/>
        <w:numPr>
          <w:ilvl w:val="0"/>
          <w:numId w:val="1005"/>
        </w:numPr>
      </w:pPr>
      <w:r>
        <w:t xml:space="preserve">Are connectivity products and the Alphawave acquisition tracking to plan?</w:t>
      </w:r>
    </w:p>
    <w:p>
      <w:pPr>
        <w:pStyle w:val="Compact"/>
        <w:numPr>
          <w:ilvl w:val="0"/>
          <w:numId w:val="1005"/>
        </w:numPr>
      </w:pPr>
      <w:r>
        <w:t xml:space="preserve">Is Qualcomm still comfortable with its stated FY27 data-center revenue ambition?</w:t>
      </w:r>
    </w:p>
    <w:p>
      <w:pPr>
        <w:pStyle w:val="FirstParagraph"/>
      </w:pPr>
      <w:r>
        <w:t xml:space="preserve">The distinction is crucial: data center may support the long-term valuation framework, but QCOM remains a handset-driven earnings story in the next several quarters.</w:t>
      </w:r>
    </w:p>
    <w:p>
      <w:r>
        <w:pict>
          <v:rect style="width:0;height:1.5pt" o:hralign="center" o:hrstd="t" o:hr="t"/>
        </w:pict>
      </w:r>
    </w:p>
    <w:bookmarkEnd w:id="17"/>
    <w:bookmarkEnd w:id="18"/>
    <w:bookmarkStart w:id="19" w:name="Xff0137525ae0cfaa15c273df84ec451c5802726"/>
    <w:p>
      <w:pPr>
        <w:pStyle w:val="Heading2"/>
      </w:pPr>
      <w:r>
        <w:t xml:space="preserve">The near-term tension: handset pressure versus long-term optionality</w:t>
      </w:r>
    </w:p>
    <w:p>
      <w:pPr>
        <w:pStyle w:val="FirstParagraph"/>
      </w:pPr>
      <w:r>
        <w:t xml:space="preserve">Qualcomm’s stock had already fallen about</w:t>
      </w:r>
      <w:r>
        <w:t xml:space="preserve"> </w:t>
      </w:r>
      <w:r>
        <w:rPr>
          <w:b/>
          <w:bCs/>
        </w:rPr>
        <w:t xml:space="preserve">17.5%</w:t>
      </w:r>
      <w:r>
        <w:t xml:space="preserve"> </w:t>
      </w:r>
      <w:r>
        <w:t xml:space="preserve">between June 24 and July 28, from $197.41 to $162.91, amid broad semiconductor weakness and company-specific concerns around handset demand, memory costs, and future customer insourcing.</w:t>
      </w:r>
    </w:p>
    <w:p>
      <w:pPr>
        <w:pStyle w:val="BodyText"/>
      </w:pPr>
      <w:r>
        <w:t xml:space="preserve">That decline means expectations may be less demanding than they were at Investor Day, but it does not eliminate risk. Investors remain concerned about:</w:t>
      </w:r>
    </w:p>
    <w:p>
      <w:pPr>
        <w:pStyle w:val="Compact"/>
        <w:numPr>
          <w:ilvl w:val="0"/>
          <w:numId w:val="1006"/>
        </w:numPr>
      </w:pPr>
      <w:r>
        <w:rPr>
          <w:b/>
          <w:bCs/>
        </w:rPr>
        <w:t xml:space="preserve">Memory inflation and supply constraints.</w:t>
      </w:r>
      <w:r>
        <w:t xml:space="preserve"> </w:t>
      </w:r>
      <w:r>
        <w:t xml:space="preserve">Higher memory costs can pressure handset demand, especially in mid- and lower-tier Android devices.</w:t>
      </w:r>
    </w:p>
    <w:p>
      <w:pPr>
        <w:pStyle w:val="Compact"/>
        <w:numPr>
          <w:ilvl w:val="0"/>
          <w:numId w:val="1006"/>
        </w:numPr>
      </w:pPr>
      <w:r>
        <w:rPr>
          <w:b/>
          <w:bCs/>
        </w:rPr>
        <w:t xml:space="preserve">Apple modem insourcing.</w:t>
      </w:r>
      <w:r>
        <w:t xml:space="preserve"> </w:t>
      </w:r>
      <w:r>
        <w:t xml:space="preserve">Qualcomm previously assumed only 20% share of Apple’s fall 2026 handset launches, with no product relationship assumed beyond that framework.</w:t>
      </w:r>
    </w:p>
    <w:p>
      <w:pPr>
        <w:pStyle w:val="Compact"/>
        <w:numPr>
          <w:ilvl w:val="0"/>
          <w:numId w:val="1006"/>
        </w:numPr>
      </w:pPr>
      <w:r>
        <w:rPr>
          <w:b/>
          <w:bCs/>
        </w:rPr>
        <w:t xml:space="preserve">Android OEM vertical integration.</w:t>
      </w:r>
      <w:r>
        <w:t xml:space="preserve"> </w:t>
      </w:r>
      <w:r>
        <w:t xml:space="preserve">Samsung, Xiaomi, and Chinese OEMs remain potential sources of share or content risk over time.</w:t>
      </w:r>
    </w:p>
    <w:p>
      <w:pPr>
        <w:pStyle w:val="Compact"/>
        <w:numPr>
          <w:ilvl w:val="0"/>
          <w:numId w:val="1006"/>
        </w:numPr>
      </w:pPr>
      <w:r>
        <w:rPr>
          <w:b/>
          <w:bCs/>
        </w:rPr>
        <w:t xml:space="preserve">China exposure.</w:t>
      </w:r>
      <w:r>
        <w:t xml:space="preserve"> </w:t>
      </w:r>
      <w:r>
        <w:t xml:space="preserve">Qualcomm has substantial direct and indirect exposure to Chinese smartphone demand and to U.S.–China trade and technology-policy tensions.</w:t>
      </w:r>
    </w:p>
    <w:p>
      <w:pPr>
        <w:pStyle w:val="Compact"/>
        <w:numPr>
          <w:ilvl w:val="0"/>
          <w:numId w:val="1006"/>
        </w:numPr>
      </w:pPr>
      <w:r>
        <w:rPr>
          <w:b/>
          <w:bCs/>
        </w:rPr>
        <w:t xml:space="preserve">Data-center execution risk.</w:t>
      </w:r>
      <w:r>
        <w:t xml:space="preserve"> </w:t>
      </w:r>
      <w:r>
        <w:t xml:space="preserve">The opportunity is large, but the targets rely on successful product ramps, hyperscaler adoption, software execution, and sustained investment.</w:t>
      </w:r>
    </w:p>
    <w:p>
      <w:r>
        <w:pict>
          <v:rect style="width:0;height:1.5pt" o:hralign="center" o:hrstd="t" o:hr="t"/>
        </w:pict>
      </w:r>
    </w:p>
    <w:bookmarkEnd w:id="19"/>
    <w:bookmarkStart w:id="20" w:name="potential-upside-catalysts"/>
    <w:p>
      <w:pPr>
        <w:pStyle w:val="Heading2"/>
      </w:pPr>
      <w:r>
        <w:t xml:space="preserve">Potential upside catalysts</w:t>
      </w:r>
    </w:p>
    <w:p>
      <w:pPr>
        <w:pStyle w:val="FirstParagraph"/>
      </w:pPr>
      <w:r>
        <w:t xml:space="preserve">A bullish report would likely include most of the following:</w:t>
      </w:r>
    </w:p>
    <w:p>
      <w:pPr>
        <w:pStyle w:val="Compact"/>
        <w:numPr>
          <w:ilvl w:val="0"/>
          <w:numId w:val="1007"/>
        </w:numPr>
      </w:pPr>
      <w:r>
        <w:t xml:space="preserve">Q3 revenue/EPS toward or above the high end of guidance.</w:t>
      </w:r>
    </w:p>
    <w:p>
      <w:pPr>
        <w:pStyle w:val="Compact"/>
        <w:numPr>
          <w:ilvl w:val="0"/>
          <w:numId w:val="1007"/>
        </w:numPr>
      </w:pPr>
      <w:r>
        <w:t xml:space="preserve">Handset revenue above the approximate $4.9B guidepost.</w:t>
      </w:r>
    </w:p>
    <w:p>
      <w:pPr>
        <w:pStyle w:val="Compact"/>
        <w:numPr>
          <w:ilvl w:val="0"/>
          <w:numId w:val="1007"/>
        </w:numPr>
      </w:pPr>
      <w:r>
        <w:t xml:space="preserve">Explicit confirmation that China inventory correction has bottomed.</w:t>
      </w:r>
    </w:p>
    <w:p>
      <w:pPr>
        <w:pStyle w:val="Compact"/>
        <w:numPr>
          <w:ilvl w:val="0"/>
          <w:numId w:val="1007"/>
        </w:numPr>
      </w:pPr>
      <w:r>
        <w:t xml:space="preserve">Q4 revenue and EPS guidance showing sequential handset recovery.</w:t>
      </w:r>
    </w:p>
    <w:p>
      <w:pPr>
        <w:pStyle w:val="Compact"/>
        <w:numPr>
          <w:ilvl w:val="0"/>
          <w:numId w:val="1007"/>
        </w:numPr>
      </w:pPr>
      <w:r>
        <w:t xml:space="preserve">Automotive growth at or above the roughly 50% year-over-year target.</w:t>
      </w:r>
    </w:p>
    <w:p>
      <w:pPr>
        <w:pStyle w:val="Compact"/>
        <w:numPr>
          <w:ilvl w:val="0"/>
          <w:numId w:val="1007"/>
        </w:numPr>
      </w:pPr>
      <w:r>
        <w:t xml:space="preserve">Stable-to-improving QCT margin commentary despite supply-chain costs.</w:t>
      </w:r>
    </w:p>
    <w:p>
      <w:pPr>
        <w:pStyle w:val="Compact"/>
        <w:numPr>
          <w:ilvl w:val="0"/>
          <w:numId w:val="1007"/>
        </w:numPr>
      </w:pPr>
      <w:r>
        <w:t xml:space="preserve">Concrete data-center milestones: customer engagement expansion, custom-silicon timing confirmation, or early connectivity revenue traction.</w:t>
      </w:r>
    </w:p>
    <w:p>
      <w:pPr>
        <w:pStyle w:val="Compact"/>
        <w:numPr>
          <w:ilvl w:val="0"/>
          <w:numId w:val="1007"/>
        </w:numPr>
      </w:pPr>
      <w:r>
        <w:t xml:space="preserve">Evidence that recent chip price actions can protect margins without materially hurting unit demand.</w:t>
      </w:r>
    </w:p>
    <w:bookmarkEnd w:id="20"/>
    <w:bookmarkStart w:id="21" w:name="what-would-make-the-report-disappointing"/>
    <w:p>
      <w:pPr>
        <w:pStyle w:val="Heading2"/>
      </w:pPr>
      <w:r>
        <w:t xml:space="preserve">What would make the report disappointing</w:t>
      </w:r>
    </w:p>
    <w:p>
      <w:pPr>
        <w:pStyle w:val="FirstParagraph"/>
      </w:pPr>
      <w:r>
        <w:t xml:space="preserve">The downside scenario is less about missing a low Q3 bar and more about invalidating the recovery setup:</w:t>
      </w:r>
    </w:p>
    <w:p>
      <w:pPr>
        <w:pStyle w:val="Compact"/>
        <w:numPr>
          <w:ilvl w:val="0"/>
          <w:numId w:val="1008"/>
        </w:numPr>
      </w:pPr>
      <w:r>
        <w:t xml:space="preserve">A revenue or EPS miss relative to Qualcomm’s guided range.</w:t>
      </w:r>
    </w:p>
    <w:p>
      <w:pPr>
        <w:pStyle w:val="Compact"/>
        <w:numPr>
          <w:ilvl w:val="0"/>
          <w:numId w:val="1008"/>
        </w:numPr>
      </w:pPr>
      <w:r>
        <w:t xml:space="preserve">Further reduction in handset demand assumptions because of memory constraints.</w:t>
      </w:r>
    </w:p>
    <w:p>
      <w:pPr>
        <w:pStyle w:val="Compact"/>
        <w:numPr>
          <w:ilvl w:val="0"/>
          <w:numId w:val="1008"/>
        </w:numPr>
      </w:pPr>
      <w:r>
        <w:t xml:space="preserve">Delayed or muted China inventory normalization.</w:t>
      </w:r>
    </w:p>
    <w:p>
      <w:pPr>
        <w:pStyle w:val="Compact"/>
        <w:numPr>
          <w:ilvl w:val="0"/>
          <w:numId w:val="1008"/>
        </w:numPr>
      </w:pPr>
      <w:r>
        <w:t xml:space="preserve">A weak Q4 guide due to Apple share loss, lower Android builds, or gross-margin pressure.</w:t>
      </w:r>
    </w:p>
    <w:p>
      <w:pPr>
        <w:pStyle w:val="Compact"/>
        <w:numPr>
          <w:ilvl w:val="0"/>
          <w:numId w:val="1008"/>
        </w:numPr>
      </w:pPr>
      <w:r>
        <w:t xml:space="preserve">Automotive or IoT growth falling short of expectations.</w:t>
      </w:r>
    </w:p>
    <w:p>
      <w:pPr>
        <w:pStyle w:val="Compact"/>
        <w:numPr>
          <w:ilvl w:val="0"/>
          <w:numId w:val="1008"/>
        </w:numPr>
      </w:pPr>
      <w:r>
        <w:t xml:space="preserve">Incremental data-center spending with limited progress on customer or revenue timing.</w:t>
      </w:r>
    </w:p>
    <w:p>
      <w:pPr>
        <w:pStyle w:val="Compact"/>
        <w:numPr>
          <w:ilvl w:val="0"/>
          <w:numId w:val="1008"/>
        </w:numPr>
      </w:pPr>
      <w:r>
        <w:t xml:space="preserve">Any indication that planned pricing increases are meeting customer resistance or damaging demand.</w:t>
      </w:r>
    </w:p>
    <w:p>
      <w:r>
        <w:pict>
          <v:rect style="width:0;height:1.5pt" o:hralign="center" o:hrstd="t" o:hr="t"/>
        </w:pict>
      </w:r>
    </w:p>
    <w:bookmarkEnd w:id="21"/>
    <w:bookmarkStart w:id="22" w:name="X9116bec721e8ecc27edd7ff5882de2109353ab2"/>
    <w:p>
      <w:pPr>
        <w:pStyle w:val="Heading2"/>
      </w:pPr>
      <w:r>
        <w:t xml:space="preserve">Questions investors should ask on the call</w:t>
      </w:r>
    </w:p>
    <w:p>
      <w:pPr>
        <w:pStyle w:val="Compact"/>
        <w:numPr>
          <w:ilvl w:val="0"/>
          <w:numId w:val="1009"/>
        </w:numPr>
      </w:pPr>
      <w:r>
        <w:rPr>
          <w:b/>
          <w:bCs/>
        </w:rPr>
        <w:t xml:space="preserve">China handsets:</w:t>
      </w:r>
      <w:r>
        <w:t xml:space="preserve"> </w:t>
      </w:r>
      <w:r>
        <w:t xml:space="preserve">What evidence supports the view that Q3 was the bottom for Chinese Android QCT revenue?</w:t>
      </w:r>
    </w:p>
    <w:p>
      <w:pPr>
        <w:pStyle w:val="Compact"/>
        <w:numPr>
          <w:ilvl w:val="0"/>
          <w:numId w:val="1009"/>
        </w:numPr>
      </w:pPr>
      <w:r>
        <w:rPr>
          <w:b/>
          <w:bCs/>
        </w:rPr>
        <w:t xml:space="preserve">Q4 cadence:</w:t>
      </w:r>
      <w:r>
        <w:t xml:space="preserve"> </w:t>
      </w:r>
      <w:r>
        <w:t xml:space="preserve">How much sequential recovery in China is required to offset Apple-related declines in the September quarter?</w:t>
      </w:r>
    </w:p>
    <w:p>
      <w:pPr>
        <w:pStyle w:val="Compact"/>
        <w:numPr>
          <w:ilvl w:val="0"/>
          <w:numId w:val="1009"/>
        </w:numPr>
      </w:pPr>
      <w:r>
        <w:rPr>
          <w:b/>
          <w:bCs/>
        </w:rPr>
        <w:t xml:space="preserve">Memory environment:</w:t>
      </w:r>
      <w:r>
        <w:t xml:space="preserve"> </w:t>
      </w:r>
      <w:r>
        <w:t xml:space="preserve">Are constraints primarily affecting unit demand, customer inventory behavior, product mix, or Qualcomm’s own supply costs?</w:t>
      </w:r>
    </w:p>
    <w:p>
      <w:pPr>
        <w:pStyle w:val="Compact"/>
        <w:numPr>
          <w:ilvl w:val="0"/>
          <w:numId w:val="1009"/>
        </w:numPr>
      </w:pPr>
      <w:r>
        <w:rPr>
          <w:b/>
          <w:bCs/>
        </w:rPr>
        <w:t xml:space="preserve">Margins:</w:t>
      </w:r>
      <w:r>
        <w:t xml:space="preserve"> </w:t>
      </w:r>
      <w:r>
        <w:t xml:space="preserve">Can QCT margins recover as handset revenue normalizes, or are higher component costs and diversification investments a more durable headwind?</w:t>
      </w:r>
    </w:p>
    <w:p>
      <w:pPr>
        <w:pStyle w:val="Compact"/>
        <w:numPr>
          <w:ilvl w:val="0"/>
          <w:numId w:val="1009"/>
        </w:numPr>
      </w:pPr>
      <w:r>
        <w:rPr>
          <w:b/>
          <w:bCs/>
        </w:rPr>
        <w:t xml:space="preserve">Automotive:</w:t>
      </w:r>
      <w:r>
        <w:t xml:space="preserve"> </w:t>
      </w:r>
      <w:r>
        <w:t xml:space="preserve">What portion of current growth is cockpit, connectivity, ADAS, and software/module content?</w:t>
      </w:r>
    </w:p>
    <w:p>
      <w:pPr>
        <w:pStyle w:val="Compact"/>
        <w:numPr>
          <w:ilvl w:val="0"/>
          <w:numId w:val="1009"/>
        </w:numPr>
      </w:pPr>
      <w:r>
        <w:rPr>
          <w:b/>
          <w:bCs/>
        </w:rPr>
        <w:t xml:space="preserve">Data center:</w:t>
      </w:r>
      <w:r>
        <w:t xml:space="preserve"> </w:t>
      </w:r>
      <w:r>
        <w:t xml:space="preserve">Are the initial hyperscaler custom-silicon ramps on schedule for FY27, and what milestones should investors track over the next two quarters?</w:t>
      </w:r>
    </w:p>
    <w:p>
      <w:pPr>
        <w:pStyle w:val="Compact"/>
        <w:numPr>
          <w:ilvl w:val="0"/>
          <w:numId w:val="1009"/>
        </w:numPr>
      </w:pPr>
      <w:r>
        <w:rPr>
          <w:b/>
          <w:bCs/>
        </w:rPr>
        <w:t xml:space="preserve">Capital allocation:</w:t>
      </w:r>
      <w:r>
        <w:t xml:space="preserve"> </w:t>
      </w:r>
      <w:r>
        <w:t xml:space="preserve">With a large new buyback authorization and material growth investments, how does management prioritize repurchases, M&amp;A, and R&amp;D?</w:t>
      </w:r>
    </w:p>
    <w:p>
      <w:r>
        <w:pict>
          <v:rect style="width:0;height:1.5pt" o:hralign="center" o:hrstd="t" o:hr="t"/>
        </w:pict>
      </w:r>
    </w:p>
    <w:bookmarkEnd w:id="22"/>
    <w:bookmarkStart w:id="23" w:name="conclusion"/>
    <w:p>
      <w:pPr>
        <w:pStyle w:val="Heading2"/>
      </w:pPr>
      <w:r>
        <w:t xml:space="preserve">Conclusion</w:t>
      </w:r>
    </w:p>
    <w:p>
      <w:pPr>
        <w:pStyle w:val="FirstParagraph"/>
      </w:pPr>
      <w:r>
        <w:t xml:space="preserve">This quarter is unlikely to settle Qualcomm’s long-term investment case. It should, however, determine whether the company can move past its most immediate earnings headwind.</w:t>
      </w:r>
    </w:p>
    <w:p>
      <w:pPr>
        <w:pStyle w:val="BodyText"/>
      </w:pPr>
      <w:r>
        <w:t xml:space="preserve">The central investment debate is simple:</w:t>
      </w:r>
    </w:p>
    <w:p>
      <w:pPr>
        <w:pStyle w:val="Compact"/>
        <w:numPr>
          <w:ilvl w:val="0"/>
          <w:numId w:val="1010"/>
        </w:numPr>
      </w:pPr>
      <w:r>
        <w:rPr>
          <w:b/>
          <w:bCs/>
        </w:rPr>
        <w:t xml:space="preserve">Bull case:</w:t>
      </w:r>
      <w:r>
        <w:t xml:space="preserve"> </w:t>
      </w:r>
      <w:r>
        <w:t xml:space="preserve">Q3 is the handset trough; China normalizes in Q4; automotive and IoT continue to compound; and data-center execution steadily converts a compelling strategy into measurable revenue.</w:t>
      </w:r>
    </w:p>
    <w:p>
      <w:pPr>
        <w:pStyle w:val="Compact"/>
        <w:numPr>
          <w:ilvl w:val="0"/>
          <w:numId w:val="1010"/>
        </w:numPr>
      </w:pPr>
      <w:r>
        <w:rPr>
          <w:b/>
          <w:bCs/>
        </w:rPr>
        <w:t xml:space="preserve">Bear case:</w:t>
      </w:r>
      <w:r>
        <w:t xml:space="preserve"> </w:t>
      </w:r>
      <w:r>
        <w:t xml:space="preserve">Memory inflation reveals weaker underlying handset demand, China’s recovery slips, Apple and other customer-insourcing pressures intensify, and the long-dated data-center opportunity fails to offset nearer-term earnings erosion.</w:t>
      </w:r>
    </w:p>
    <w:p>
      <w:pPr>
        <w:pStyle w:val="FirstParagraph"/>
      </w:pPr>
      <w:r>
        <w:t xml:space="preserve">For the stock,</w:t>
      </w:r>
      <w:r>
        <w:t xml:space="preserve"> </w:t>
      </w:r>
      <w:r>
        <w:rPr>
          <w:b/>
          <w:bCs/>
        </w:rPr>
        <w:t xml:space="preserve">the fiscal Q4 outlook and management’s confidence in a China handset recovery should matter more than the fiscal Q3 headline numbers.</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https://investor.qualcomm.com/news-events/press-releases/news-details/2026/Qualcomm-Accelerates-Diversification-with-Comprehensive-Strategy-for-Data-Center-and-Sees-Multiple-Inflection-Points-Over-the-Next-3-to-5-Years/default.aspx" TargetMode="External" /><Relationship Type="http://schemas.openxmlformats.org/officeDocument/2006/relationships/hyperlink" Id="rId9" Target="https://investor.qualcomm.com/news-events/press-releases/news-details/2026/Qualcomm-Schedules-Third-Quarter-Fiscal-2026-Earnings-Release-and-Conference-Call/default.aspx?utm_source=openai" TargetMode="External" /></Relationships>
</file>

<file path=word/_rels/footnotes.xml.rels><?xml version="1.0" encoding="UTF-8"?><Relationships xmlns="http://schemas.openxmlformats.org/package/2006/relationships"><Relationship Type="http://schemas.openxmlformats.org/officeDocument/2006/relationships/hyperlink" Id="rId10" Target="https://investor.qualcomm.com/news-events/press-releases/news-details/2026/Qualcomm-Accelerates-Diversification-with-Comprehensive-Strategy-for-Data-Center-and-Sees-Multiple-Inflection-Points-Over-the-Next-3-to-5-Years/default.aspx" TargetMode="External" /><Relationship Type="http://schemas.openxmlformats.org/officeDocument/2006/relationships/hyperlink" Id="rId9" Target="https://investor.qualcomm.com/news-events/press-releases/news-details/2026/Qualcomm-Schedules-Third-Quarter-Fiscal-2026-Earnings-Release-and-Conference-Call/default.aspx?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2026-07-29T01:25:43Z</dcterms:created>
  <dcterms:modified xsi:type="dcterms:W3CDTF">2026-07-29T01:25:43Z</dcterms:modified>
</cp:coreProperties>
</file>

<file path=docProps/custom.xml><?xml version="1.0" encoding="utf-8"?>
<Properties xmlns="http://schemas.openxmlformats.org/officeDocument/2006/custom-properties" xmlns:vt="http://schemas.openxmlformats.org/officeDocument/2006/docPropsVTypes"/>
</file>