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Qualcomm Incorporated (QCOM)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Qualcomm Incorporated</w:t>
            </w:r>
          </w:p>
        </w:tc>
      </w:tr>
      <w:tr>
        <w:tc>
          <w:tcPr>
            <w:tcW w:type="dxa" w:w="4320"/>
          </w:tcPr>
          <w:p>
            <w:r>
              <w:rPr>
                <w:rFonts w:ascii="Calibri" w:hAnsi="Calibri"/>
                <w:b/>
                <w:sz w:val="22"/>
              </w:rPr>
              <w:t>Ticker</w:t>
            </w:r>
          </w:p>
        </w:tc>
        <w:tc>
          <w:tcPr>
            <w:tcW w:type="dxa" w:w="4320"/>
          </w:tcPr>
          <w:p>
            <w:r>
              <w:rPr>
                <w:rFonts w:ascii="Calibri" w:hAnsi="Calibri"/>
                <w:sz w:val="22"/>
              </w:rPr>
              <w:t>QCOM (NASDAQ)</w:t>
            </w:r>
          </w:p>
        </w:tc>
      </w:tr>
      <w:tr>
        <w:tc>
          <w:tcPr>
            <w:tcW w:type="dxa" w:w="4320"/>
          </w:tcPr>
          <w:p>
            <w:r>
              <w:rPr>
                <w:rFonts w:ascii="Calibri" w:hAnsi="Calibri"/>
                <w:b/>
                <w:sz w:val="22"/>
              </w:rPr>
              <w:t>Reporting Period</w:t>
            </w:r>
          </w:p>
        </w:tc>
        <w:tc>
          <w:tcPr>
            <w:tcW w:type="dxa" w:w="4320"/>
          </w:tcPr>
          <w:p>
            <w:r>
              <w:rPr>
                <w:rFonts w:ascii="Calibri" w:hAnsi="Calibri"/>
                <w:sz w:val="22"/>
              </w:rPr>
              <w:t>Q3 FY2026 (quarter ended June 30, 2026)</w:t>
            </w:r>
          </w:p>
        </w:tc>
      </w:tr>
      <w:tr>
        <w:tc>
          <w:tcPr>
            <w:tcW w:type="dxa" w:w="4320"/>
          </w:tcPr>
          <w:p>
            <w:r>
              <w:rPr>
                <w:rFonts w:ascii="Calibri" w:hAnsi="Calibri"/>
                <w:b/>
                <w:sz w:val="22"/>
              </w:rPr>
              <w:t>Upcoming Earnings Date</w:t>
            </w:r>
          </w:p>
        </w:tc>
        <w:tc>
          <w:tcPr>
            <w:tcW w:type="dxa" w:w="4320"/>
          </w:tcPr>
          <w:p>
            <w:r>
              <w:rPr>
                <w:rFonts w:ascii="Calibri" w:hAnsi="Calibri"/>
                <w:sz w:val="22"/>
              </w:rPr>
              <w:t>July 30,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Last Earnings Date</w:t>
            </w:r>
          </w:p>
        </w:tc>
        <w:tc>
          <w:tcPr>
            <w:tcW w:type="dxa" w:w="4320"/>
          </w:tcPr>
          <w:p>
            <w:r>
              <w:rPr>
                <w:rFonts w:ascii="Calibri" w:hAnsi="Calibri"/>
                <w:sz w:val="22"/>
              </w:rPr>
              <w:t>April 29, 2026 (Q2 FY2026)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a low bar with a defined recovery narrative — consensus has been reset to guidance levels after the Q2 miss, and management's explicit bottom call on China Android in Q3 means the key question is whether handset shipments trough as guided or disappoint further; the data center hyperscaler win and Investor Day catalysts provide meaningful upside optionality that the stock has only partially priced in.</w:t>
      </w:r>
    </w:p>
    <w:p>
      <w:r>
        <w:rPr>
          <w:rFonts w:ascii="Calibri" w:hAnsi="Calibri"/>
          <w:color w:val="525866"/>
          <w:sz w:val="22"/>
        </w:rPr>
        <w:t xml:space="preserve">Heading into Q3 FY2026, the bar for QCOM is low by design: management guided revenue to $9.2B–$10.0B and non-GAAP EPS to $2.10–$2.30 on the April 29 call, both well below prior consensus, and the Street has since reset to those levels (current consensus: ~$9.66B revenue, ~$2.23 EPS). The dominant near-term headwind is the industry-wide DRAM supply constraint that forced OEMs to cut build plans and draw down channel inventory, compressing QCT handset revenue to a guided ~$4.9B — management explicitly called Q3 the trough for China Android shipments and guided for sequential recovery in Q4, giving the print a defined recovery narrative rather than open-ended uncertainty. </w:t>
      </w:r>
      <w:r>
        <w:rPr>
          <w:rFonts w:ascii="Calibri" w:hAnsi="Calibri"/>
          <w:color w:val="525866"/>
          <w:sz w:val="22"/>
        </w:rPr>
        <w:t xml:space="preserve">Estimate revisions have been modestly positive since the post-earnings baseline (revenue consensus up ~$37M, EPS up ~$0.03 from the May 4 snapshot), suggesting the Street is not pricing in incremental downside. </w:t>
      </w:r>
      <w:r>
        <w:rPr>
          <w:rFonts w:ascii="Calibri" w:hAnsi="Calibri"/>
          <w:color w:val="525866"/>
          <w:sz w:val="22"/>
        </w:rPr>
        <w:t xml:space="preserve">The stock has rallied ~4% since last earnings (vs. SOXX +9%), underperforming the sector despite the June 24 Investor Day where management doubled its FY2029 non-handset revenue target to $40B, announced a Meta CPU supply deal, Microsoft Azure HBC partnership, and a $5B FY2027 data center revenue target — suggesting the market is still discounting execution risk on diversification. </w:t>
      </w:r>
      <w:r>
        <w:rPr>
          <w:rFonts w:ascii="Calibri" w:hAnsi="Calibri"/>
          <w:color w:val="525866"/>
          <w:sz w:val="22"/>
        </w:rPr>
        <w:t>The single biggest wildcard is whether the memory-driven handset trough is as clean as management guided: any signal that China Android inventory drawdowns extend into Q4 would undercut the recovery thesis, while an upside surprise in automotive (guided ~50% YoY growth) or early data center revenue pull-forward could more than offset.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 fully reset to guidance midpoints after the Q2 miss — making handset revenue the bigger swing factor (guided ~$4.9B, consensus ~$4.96B) while automotive (~$1.48B consensus, ~50% YoY guided) is the upside lever if execution continues to accelerate.</w:t>
      </w:r>
    </w:p>
    <w:p>
      <w:pPr>
        <w:pStyle w:val="Heading2"/>
      </w:pPr>
      <w:r>
        <w:rPr>
          <w:rFonts w:ascii="Calibri" w:hAnsi="Calibri"/>
          <w:b/>
          <w:color w:val="3B4259"/>
          <w:sz w:val="28"/>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(Operating)</w:t>
            </w:r>
          </w:p>
        </w:tc>
        <w:tc>
          <w:tcPr>
            <w:tcW w:type="dxa" w:w="1234"/>
          </w:tcPr>
          <w:p>
            <w:r>
              <w:rPr>
                <w:rFonts w:ascii="Calibri" w:hAnsi="Calibri"/>
                <w:sz w:val="22"/>
              </w:rPr>
              <w:t>$10.60B</w:t>
            </w:r>
          </w:p>
        </w:tc>
        <w:tc>
          <w:tcPr>
            <w:tcW w:type="dxa" w:w="1234"/>
          </w:tcPr>
          <w:p>
            <w:r>
              <w:rPr>
                <w:rFonts w:ascii="Calibri" w:hAnsi="Calibri"/>
                <w:sz w:val="22"/>
              </w:rPr>
              <w:t>$10.37B</w:t>
            </w:r>
          </w:p>
        </w:tc>
        <w:tc>
          <w:tcPr>
            <w:tcW w:type="dxa" w:w="1234"/>
          </w:tcPr>
          <w:p>
            <w:r>
              <w:rPr>
                <w:rFonts w:ascii="Calibri" w:hAnsi="Calibri"/>
                <w:sz w:val="22"/>
              </w:rPr>
              <w:t>$9.66B</w:t>
            </w:r>
          </w:p>
        </w:tc>
        <w:tc>
          <w:tcPr>
            <w:tcW w:type="dxa" w:w="1234"/>
          </w:tcPr>
          <w:p>
            <w:r>
              <w:rPr>
                <w:rFonts w:ascii="Calibri" w:hAnsi="Calibri"/>
                <w:sz w:val="22"/>
              </w:rPr>
              <w:t>-6.8%</w:t>
            </w:r>
          </w:p>
        </w:tc>
        <w:tc>
          <w:tcPr>
            <w:tcW w:type="dxa" w:w="1234"/>
          </w:tcPr>
          <w:p>
            <w:r>
              <w:rPr>
                <w:rFonts w:ascii="Calibri" w:hAnsi="Calibri"/>
                <w:sz w:val="22"/>
              </w:rPr>
              <w:t>$9.2B – $10.0B</w:t>
            </w:r>
          </w:p>
        </w:tc>
        <w:tc>
          <w:tcPr>
            <w:tcW w:type="dxa" w:w="1234"/>
          </w:tcPr>
          <w:p>
            <w:r>
              <w:rPr>
                <w:rFonts w:ascii="Calibri" w:hAnsi="Calibri"/>
                <w:sz w:val="22"/>
              </w:rPr>
              <w:t>+4.5% vs. $9.6B mid</w:t>
            </w:r>
          </w:p>
        </w:tc>
      </w:tr>
      <w:tr>
        <w:tc>
          <w:tcPr>
            <w:tcW w:type="dxa" w:w="1234"/>
          </w:tcPr>
          <w:p>
            <w:r>
              <w:rPr>
                <w:rFonts w:ascii="Calibri" w:hAnsi="Calibri"/>
                <w:sz w:val="22"/>
              </w:rPr>
              <w:t>QCT Revenue</w:t>
            </w:r>
          </w:p>
        </w:tc>
        <w:tc>
          <w:tcPr>
            <w:tcW w:type="dxa" w:w="1234"/>
          </w:tcPr>
          <w:p>
            <w:r>
              <w:rPr>
                <w:rFonts w:ascii="Calibri" w:hAnsi="Calibri"/>
                <w:sz w:val="22"/>
              </w:rPr>
              <w:t>$9.08B</w:t>
            </w:r>
          </w:p>
        </w:tc>
        <w:tc>
          <w:tcPr>
            <w:tcW w:type="dxa" w:w="1234"/>
          </w:tcPr>
          <w:p>
            <w:r>
              <w:rPr>
                <w:rFonts w:ascii="Calibri" w:hAnsi="Calibri"/>
                <w:sz w:val="22"/>
              </w:rPr>
              <w:t>$8.99B</w:t>
            </w:r>
          </w:p>
        </w:tc>
        <w:tc>
          <w:tcPr>
            <w:tcW w:type="dxa" w:w="1234"/>
          </w:tcPr>
          <w:p>
            <w:r>
              <w:rPr>
                <w:rFonts w:ascii="Calibri" w:hAnsi="Calibri"/>
                <w:sz w:val="22"/>
              </w:rPr>
              <w:t>$8.26B</w:t>
            </w:r>
          </w:p>
        </w:tc>
        <w:tc>
          <w:tcPr>
            <w:tcW w:type="dxa" w:w="1234"/>
          </w:tcPr>
          <w:p>
            <w:r>
              <w:rPr>
                <w:rFonts w:ascii="Calibri" w:hAnsi="Calibri"/>
                <w:sz w:val="22"/>
              </w:rPr>
              <w:t>-8.2%</w:t>
            </w:r>
          </w:p>
        </w:tc>
        <w:tc>
          <w:tcPr>
            <w:tcW w:type="dxa" w:w="1234"/>
          </w:tcPr>
          <w:p>
            <w:r>
              <w:rPr>
                <w:rFonts w:ascii="Calibri" w:hAnsi="Calibri"/>
                <w:sz w:val="22"/>
              </w:rPr>
              <w:t>$7.9B – $8.5B</w:t>
            </w:r>
          </w:p>
        </w:tc>
        <w:tc>
          <w:tcPr>
            <w:tcW w:type="dxa" w:w="1234"/>
          </w:tcPr>
          <w:p>
            <w:r>
              <w:rPr>
                <w:rFonts w:ascii="Calibri" w:hAnsi="Calibri"/>
                <w:sz w:val="22"/>
              </w:rPr>
              <w:t>+4.6% vs. $8.2B mid</w:t>
            </w:r>
          </w:p>
        </w:tc>
      </w:tr>
      <w:tr>
        <w:tc>
          <w:tcPr>
            <w:tcW w:type="dxa" w:w="1234"/>
          </w:tcPr>
          <w:p>
            <w:r>
              <w:rPr>
                <w:rFonts w:ascii="Calibri" w:hAnsi="Calibri"/>
                <w:sz w:val="22"/>
              </w:rPr>
              <w:t>QCT Handset Revenue</w:t>
            </w:r>
          </w:p>
        </w:tc>
        <w:tc>
          <w:tcPr>
            <w:tcW w:type="dxa" w:w="1234"/>
          </w:tcPr>
          <w:p>
            <w:r>
              <w:rPr>
                <w:rFonts w:ascii="Calibri" w:hAnsi="Calibri"/>
                <w:sz w:val="22"/>
              </w:rPr>
              <w:t>$6.02B</w:t>
            </w:r>
          </w:p>
        </w:tc>
        <w:tc>
          <w:tcPr>
            <w:tcW w:type="dxa" w:w="1234"/>
          </w:tcPr>
          <w:p>
            <w:r>
              <w:rPr>
                <w:rFonts w:ascii="Calibri" w:hAnsi="Calibri"/>
                <w:sz w:val="22"/>
              </w:rPr>
              <w:t>$6.33B</w:t>
            </w:r>
          </w:p>
        </w:tc>
        <w:tc>
          <w:tcPr>
            <w:tcW w:type="dxa" w:w="1234"/>
          </w:tcPr>
          <w:p>
            <w:r>
              <w:rPr>
                <w:rFonts w:ascii="Calibri" w:hAnsi="Calibri"/>
                <w:sz w:val="22"/>
              </w:rPr>
              <w:t>$4.96B</w:t>
            </w:r>
          </w:p>
        </w:tc>
        <w:tc>
          <w:tcPr>
            <w:tcW w:type="dxa" w:w="1234"/>
          </w:tcPr>
          <w:p>
            <w:r>
              <w:rPr>
                <w:rFonts w:ascii="Calibri" w:hAnsi="Calibri"/>
                <w:sz w:val="22"/>
              </w:rPr>
              <w:t>-21.6%</w:t>
            </w:r>
          </w:p>
        </w:tc>
        <w:tc>
          <w:tcPr>
            <w:tcW w:type="dxa" w:w="1234"/>
          </w:tcPr>
          <w:p>
            <w:r>
              <w:rPr>
                <w:rFonts w:ascii="Calibri" w:hAnsi="Calibri"/>
                <w:sz w:val="22"/>
              </w:rPr>
              <w:t>~$4.9B</w:t>
            </w:r>
          </w:p>
        </w:tc>
        <w:tc>
          <w:tcPr>
            <w:tcW w:type="dxa" w:w="1234"/>
          </w:tcPr>
          <w:p>
            <w:r>
              <w:rPr>
                <w:rFonts w:ascii="Calibri" w:hAnsi="Calibri"/>
                <w:sz w:val="22"/>
              </w:rPr>
              <w:t>+1.3% vs. $4.9B guide</w:t>
            </w:r>
          </w:p>
        </w:tc>
      </w:tr>
      <w:tr>
        <w:tc>
          <w:tcPr>
            <w:tcW w:type="dxa" w:w="1234"/>
          </w:tcPr>
          <w:p>
            <w:r>
              <w:rPr>
                <w:rFonts w:ascii="Calibri" w:hAnsi="Calibri"/>
                <w:sz w:val="22"/>
              </w:rPr>
              <w:t>QCT Automotive Revenue</w:t>
            </w:r>
          </w:p>
        </w:tc>
        <w:tc>
          <w:tcPr>
            <w:tcW w:type="dxa" w:w="1234"/>
          </w:tcPr>
          <w:p>
            <w:r>
              <w:rPr>
                <w:rFonts w:ascii="Calibri" w:hAnsi="Calibri"/>
                <w:sz w:val="22"/>
              </w:rPr>
              <w:t>$1.33B</w:t>
            </w:r>
          </w:p>
        </w:tc>
        <w:tc>
          <w:tcPr>
            <w:tcW w:type="dxa" w:w="1234"/>
          </w:tcPr>
          <w:p>
            <w:r>
              <w:rPr>
                <w:rFonts w:ascii="Calibri" w:hAnsi="Calibri"/>
                <w:sz w:val="22"/>
              </w:rPr>
              <w:t>$0.98B</w:t>
            </w:r>
          </w:p>
        </w:tc>
        <w:tc>
          <w:tcPr>
            <w:tcW w:type="dxa" w:w="1234"/>
          </w:tcPr>
          <w:p>
            <w:r>
              <w:rPr>
                <w:rFonts w:ascii="Calibri" w:hAnsi="Calibri"/>
                <w:sz w:val="22"/>
              </w:rPr>
              <w:t>$1.48B</w:t>
            </w:r>
          </w:p>
        </w:tc>
        <w:tc>
          <w:tcPr>
            <w:tcW w:type="dxa" w:w="1234"/>
          </w:tcPr>
          <w:p>
            <w:r>
              <w:rPr>
                <w:rFonts w:ascii="Calibri" w:hAnsi="Calibri"/>
                <w:sz w:val="22"/>
              </w:rPr>
              <w:t>+50.6%</w:t>
            </w:r>
          </w:p>
        </w:tc>
        <w:tc>
          <w:tcPr>
            <w:tcW w:type="dxa" w:w="1234"/>
          </w:tcPr>
          <w:p>
            <w:r>
              <w:rPr>
                <w:rFonts w:ascii="Calibri" w:hAnsi="Calibri"/>
                <w:sz w:val="22"/>
              </w:rPr>
              <w:t>~50% YoY growth</w:t>
            </w:r>
          </w:p>
        </w:tc>
        <w:tc>
          <w:tcPr>
            <w:tcW w:type="dxa" w:w="1234"/>
          </w:tcPr>
          <w:p>
            <w:r>
              <w:rPr>
                <w:rFonts w:ascii="Calibri" w:hAnsi="Calibri"/>
                <w:sz w:val="22"/>
              </w:rPr>
              <w:t>In line with guide</w:t>
            </w:r>
          </w:p>
        </w:tc>
      </w:tr>
      <w:tr>
        <w:tc>
          <w:tcPr>
            <w:tcW w:type="dxa" w:w="1234"/>
          </w:tcPr>
          <w:p>
            <w:r>
              <w:rPr>
                <w:rFonts w:ascii="Calibri" w:hAnsi="Calibri"/>
                <w:sz w:val="22"/>
              </w:rPr>
              <w:t>QCT IoT Revenue</w:t>
            </w:r>
          </w:p>
        </w:tc>
        <w:tc>
          <w:tcPr>
            <w:tcW w:type="dxa" w:w="1234"/>
          </w:tcPr>
          <w:p>
            <w:r>
              <w:rPr>
                <w:rFonts w:ascii="Calibri" w:hAnsi="Calibri"/>
                <w:sz w:val="22"/>
              </w:rPr>
              <w:t>$1.73B</w:t>
            </w:r>
          </w:p>
        </w:tc>
        <w:tc>
          <w:tcPr>
            <w:tcW w:type="dxa" w:w="1234"/>
          </w:tcPr>
          <w:p>
            <w:r>
              <w:rPr>
                <w:rFonts w:ascii="Calibri" w:hAnsi="Calibri"/>
                <w:sz w:val="22"/>
              </w:rPr>
              <w:t>$1.68B</w:t>
            </w:r>
          </w:p>
        </w:tc>
        <w:tc>
          <w:tcPr>
            <w:tcW w:type="dxa" w:w="1234"/>
          </w:tcPr>
          <w:p>
            <w:r>
              <w:rPr>
                <w:rFonts w:ascii="Calibri" w:hAnsi="Calibri"/>
                <w:sz w:val="22"/>
              </w:rPr>
              <w:t>$1.83B</w:t>
            </w:r>
          </w:p>
        </w:tc>
        <w:tc>
          <w:tcPr>
            <w:tcW w:type="dxa" w:w="1234"/>
          </w:tcPr>
          <w:p>
            <w:r>
              <w:rPr>
                <w:rFonts w:ascii="Calibri" w:hAnsi="Calibri"/>
                <w:sz w:val="22"/>
              </w:rPr>
              <w:t>+9.2%</w:t>
            </w:r>
          </w:p>
        </w:tc>
        <w:tc>
          <w:tcPr>
            <w:tcW w:type="dxa" w:w="1234"/>
          </w:tcPr>
          <w:p>
            <w:r>
              <w:rPr>
                <w:rFonts w:ascii="Calibri" w:hAnsi="Calibri"/>
                <w:sz w:val="22"/>
              </w:rPr>
              <w:t>High single-digit % YoY</w:t>
            </w:r>
          </w:p>
        </w:tc>
        <w:tc>
          <w:tcPr>
            <w:tcW w:type="dxa" w:w="1234"/>
          </w:tcPr>
          <w:p>
            <w:r>
              <w:rPr>
                <w:rFonts w:ascii="Calibri" w:hAnsi="Calibri"/>
                <w:sz w:val="22"/>
              </w:rPr>
              <w:t>In line with guide</w:t>
            </w:r>
          </w:p>
        </w:tc>
      </w:tr>
      <w:tr>
        <w:tc>
          <w:tcPr>
            <w:tcW w:type="dxa" w:w="1234"/>
          </w:tcPr>
          <w:p>
            <w:r>
              <w:rPr>
                <w:rFonts w:ascii="Calibri" w:hAnsi="Calibri"/>
                <w:sz w:val="22"/>
              </w:rPr>
              <w:t>QTL Revenue</w:t>
            </w:r>
          </w:p>
        </w:tc>
        <w:tc>
          <w:tcPr>
            <w:tcW w:type="dxa" w:w="1234"/>
          </w:tcPr>
          <w:p>
            <w:r>
              <w:rPr>
                <w:rFonts w:ascii="Calibri" w:hAnsi="Calibri"/>
                <w:sz w:val="22"/>
              </w:rPr>
              <w:t>$1.38B</w:t>
            </w:r>
          </w:p>
        </w:tc>
        <w:tc>
          <w:tcPr>
            <w:tcW w:type="dxa" w:w="1234"/>
          </w:tcPr>
          <w:p>
            <w:r>
              <w:rPr>
                <w:rFonts w:ascii="Calibri" w:hAnsi="Calibri"/>
                <w:sz w:val="22"/>
              </w:rPr>
              <w:t>$1.32B</w:t>
            </w:r>
          </w:p>
        </w:tc>
        <w:tc>
          <w:tcPr>
            <w:tcW w:type="dxa" w:w="1234"/>
          </w:tcPr>
          <w:p>
            <w:r>
              <w:rPr>
                <w:rFonts w:ascii="Calibri" w:hAnsi="Calibri"/>
                <w:sz w:val="22"/>
              </w:rPr>
              <w:t>$1.25B</w:t>
            </w:r>
          </w:p>
        </w:tc>
        <w:tc>
          <w:tcPr>
            <w:tcW w:type="dxa" w:w="1234"/>
          </w:tcPr>
          <w:p>
            <w:r>
              <w:rPr>
                <w:rFonts w:ascii="Calibri" w:hAnsi="Calibri"/>
                <w:sz w:val="22"/>
              </w:rPr>
              <w:t>-5.3%</w:t>
            </w:r>
          </w:p>
        </w:tc>
        <w:tc>
          <w:tcPr>
            <w:tcW w:type="dxa" w:w="1234"/>
          </w:tcPr>
          <w:p>
            <w:r>
              <w:rPr>
                <w:rFonts w:ascii="Calibri" w:hAnsi="Calibri"/>
                <w:sz w:val="22"/>
              </w:rPr>
              <w:t>$1.15B – $1.35B</w:t>
            </w:r>
          </w:p>
        </w:tc>
        <w:tc>
          <w:tcPr>
            <w:tcW w:type="dxa" w:w="1234"/>
          </w:tcPr>
          <w:p>
            <w:r>
              <w:rPr>
                <w:rFonts w:ascii="Calibri" w:hAnsi="Calibri"/>
                <w:sz w:val="22"/>
              </w:rPr>
              <w:t>-0.2% vs. $1.25B mid</w:t>
            </w:r>
          </w:p>
        </w:tc>
      </w:tr>
      <w:tr>
        <w:tc>
          <w:tcPr>
            <w:tcW w:type="dxa" w:w="1234"/>
          </w:tcPr>
          <w:p>
            <w:r>
              <w:rPr>
                <w:rFonts w:ascii="Calibri" w:hAnsi="Calibri"/>
                <w:sz w:val="22"/>
              </w:rPr>
              <w:t>Non-GAAP Diluted EPS (Operating)</w:t>
            </w:r>
          </w:p>
        </w:tc>
        <w:tc>
          <w:tcPr>
            <w:tcW w:type="dxa" w:w="1234"/>
          </w:tcPr>
          <w:p>
            <w:r>
              <w:rPr>
                <w:rFonts w:ascii="Calibri" w:hAnsi="Calibri"/>
                <w:sz w:val="22"/>
              </w:rPr>
              <w:t>$2.65</w:t>
            </w:r>
          </w:p>
        </w:tc>
        <w:tc>
          <w:tcPr>
            <w:tcW w:type="dxa" w:w="1234"/>
          </w:tcPr>
          <w:p>
            <w:r>
              <w:rPr>
                <w:rFonts w:ascii="Calibri" w:hAnsi="Calibri"/>
                <w:sz w:val="22"/>
              </w:rPr>
              <w:t>$2.77</w:t>
            </w:r>
          </w:p>
        </w:tc>
        <w:tc>
          <w:tcPr>
            <w:tcW w:type="dxa" w:w="1234"/>
          </w:tcPr>
          <w:p>
            <w:r>
              <w:rPr>
                <w:rFonts w:ascii="Calibri" w:hAnsi="Calibri"/>
                <w:sz w:val="22"/>
              </w:rPr>
              <w:t>$2.23</w:t>
            </w:r>
          </w:p>
        </w:tc>
        <w:tc>
          <w:tcPr>
            <w:tcW w:type="dxa" w:w="1234"/>
          </w:tcPr>
          <w:p>
            <w:r>
              <w:rPr>
                <w:rFonts w:ascii="Calibri" w:hAnsi="Calibri"/>
                <w:sz w:val="22"/>
              </w:rPr>
              <w:t>-19.5%</w:t>
            </w:r>
          </w:p>
        </w:tc>
        <w:tc>
          <w:tcPr>
            <w:tcW w:type="dxa" w:w="1234"/>
          </w:tcPr>
          <w:p>
            <w:r>
              <w:rPr>
                <w:rFonts w:ascii="Calibri" w:hAnsi="Calibri"/>
                <w:sz w:val="22"/>
              </w:rPr>
              <w:t>$2.10 – $2.30</w:t>
            </w:r>
          </w:p>
        </w:tc>
        <w:tc>
          <w:tcPr>
            <w:tcW w:type="dxa" w:w="1234"/>
          </w:tcPr>
          <w:p>
            <w:r>
              <w:rPr>
                <w:rFonts w:ascii="Calibri" w:hAnsi="Calibri"/>
                <w:sz w:val="22"/>
              </w:rPr>
              <w:t>+3.4% vs. $2.20 mid</w:t>
            </w:r>
          </w:p>
        </w:tc>
      </w:tr>
      <w:tr>
        <w:tc>
          <w:tcPr>
            <w:tcW w:type="dxa" w:w="1234"/>
          </w:tcPr>
          <w:p>
            <w:r>
              <w:rPr>
                <w:rFonts w:ascii="Calibri" w:hAnsi="Calibri"/>
                <w:sz w:val="22"/>
              </w:rPr>
              <w:t>Gross Margin (Operating, %)</w:t>
            </w:r>
          </w:p>
        </w:tc>
        <w:tc>
          <w:tcPr>
            <w:tcW w:type="dxa" w:w="1234"/>
          </w:tcPr>
          <w:p>
            <w:r>
              <w:rPr>
                <w:rFonts w:ascii="Calibri" w:hAnsi="Calibri"/>
                <w:sz w:val="22"/>
              </w:rPr>
              <w:t>54.7%</w:t>
            </w:r>
          </w:p>
        </w:tc>
        <w:tc>
          <w:tcPr>
            <w:tcW w:type="dxa" w:w="1234"/>
          </w:tcPr>
          <w:p>
            <w:r>
              <w:rPr>
                <w:rFonts w:ascii="Calibri" w:hAnsi="Calibri"/>
                <w:sz w:val="22"/>
              </w:rPr>
              <w:t>56.2%</w:t>
            </w:r>
          </w:p>
        </w:tc>
        <w:tc>
          <w:tcPr>
            <w:tcW w:type="dxa" w:w="1234"/>
          </w:tcPr>
          <w:p>
            <w:r>
              <w:rPr>
                <w:rFonts w:ascii="Calibri" w:hAnsi="Calibri"/>
                <w:sz w:val="22"/>
              </w:rPr>
              <w:t>55.2%</w:t>
            </w:r>
          </w:p>
        </w:tc>
        <w:tc>
          <w:tcPr>
            <w:tcW w:type="dxa" w:w="1234"/>
          </w:tcPr>
          <w:p>
            <w:r>
              <w:rPr>
                <w:rFonts w:ascii="Calibri" w:hAnsi="Calibri"/>
                <w:sz w:val="22"/>
              </w:rPr>
              <w:t>-100 bps</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QCT EBT Margin (Operating, %)</w:t>
            </w:r>
          </w:p>
        </w:tc>
        <w:tc>
          <w:tcPr>
            <w:tcW w:type="dxa" w:w="1234"/>
          </w:tcPr>
          <w:p>
            <w:r>
              <w:rPr>
                <w:rFonts w:ascii="Calibri" w:hAnsi="Calibri"/>
                <w:sz w:val="22"/>
              </w:rPr>
              <w:t>27.2%</w:t>
            </w:r>
          </w:p>
        </w:tc>
        <w:tc>
          <w:tcPr>
            <w:tcW w:type="dxa" w:w="1234"/>
          </w:tcPr>
          <w:p>
            <w:r>
              <w:rPr>
                <w:rFonts w:ascii="Calibri" w:hAnsi="Calibri"/>
                <w:sz w:val="22"/>
              </w:rPr>
              <w:t>29.7%</w:t>
            </w:r>
          </w:p>
        </w:tc>
        <w:tc>
          <w:tcPr>
            <w:tcW w:type="dxa" w:w="1234"/>
          </w:tcPr>
          <w:p>
            <w:r>
              <w:rPr>
                <w:rFonts w:ascii="Calibri" w:hAnsi="Calibri"/>
                <w:sz w:val="22"/>
              </w:rPr>
              <w:t>25.9%</w:t>
            </w:r>
          </w:p>
        </w:tc>
        <w:tc>
          <w:tcPr>
            <w:tcW w:type="dxa" w:w="1234"/>
          </w:tcPr>
          <w:p>
            <w:r>
              <w:rPr>
                <w:rFonts w:ascii="Calibri" w:hAnsi="Calibri"/>
                <w:sz w:val="22"/>
              </w:rPr>
              <w:t>-180 bps</w:t>
            </w:r>
          </w:p>
        </w:tc>
        <w:tc>
          <w:tcPr>
            <w:tcW w:type="dxa" w:w="1234"/>
          </w:tcPr>
          <w:p>
            <w:r>
              <w:rPr>
                <w:rFonts w:ascii="Calibri" w:hAnsi="Calibri"/>
                <w:sz w:val="22"/>
              </w:rPr>
              <w:t>25% – 27%</w:t>
            </w:r>
          </w:p>
        </w:tc>
        <w:tc>
          <w:tcPr>
            <w:tcW w:type="dxa" w:w="1234"/>
          </w:tcPr>
          <w:p>
            <w:r>
              <w:rPr>
                <w:rFonts w:ascii="Calibri" w:hAnsi="Calibri"/>
                <w:sz w:val="22"/>
              </w:rPr>
              <w:t>In line with guide</w:t>
            </w:r>
          </w:p>
        </w:tc>
      </w:tr>
      <w:tr>
        <w:tc>
          <w:tcPr>
            <w:tcW w:type="dxa" w:w="1234"/>
          </w:tcPr>
          <w:p>
            <w:r>
              <w:rPr>
                <w:rFonts w:ascii="Calibri" w:hAnsi="Calibri"/>
                <w:sz w:val="22"/>
              </w:rPr>
              <w:t>QTL EBT Margin (Operating, %)</w:t>
            </w:r>
          </w:p>
        </w:tc>
        <w:tc>
          <w:tcPr>
            <w:tcW w:type="dxa" w:w="1234"/>
          </w:tcPr>
          <w:p>
            <w:r>
              <w:rPr>
                <w:rFonts w:ascii="Calibri" w:hAnsi="Calibri"/>
                <w:sz w:val="22"/>
              </w:rPr>
              <w:t>71.9%</w:t>
            </w:r>
          </w:p>
        </w:tc>
        <w:tc>
          <w:tcPr>
            <w:tcW w:type="dxa" w:w="1234"/>
          </w:tcPr>
          <w:p>
            <w:r>
              <w:rPr>
                <w:rFonts w:ascii="Calibri" w:hAnsi="Calibri"/>
                <w:sz w:val="22"/>
              </w:rPr>
              <w:t>71.5%</w:t>
            </w:r>
          </w:p>
        </w:tc>
        <w:tc>
          <w:tcPr>
            <w:tcW w:type="dxa" w:w="1234"/>
          </w:tcPr>
          <w:p>
            <w:r>
              <w:rPr>
                <w:rFonts w:ascii="Calibri" w:hAnsi="Calibri"/>
                <w:sz w:val="22"/>
              </w:rPr>
              <w:t>69.3%</w:t>
            </w:r>
          </w:p>
        </w:tc>
        <w:tc>
          <w:tcPr>
            <w:tcW w:type="dxa" w:w="1234"/>
          </w:tcPr>
          <w:p>
            <w:r>
              <w:rPr>
                <w:rFonts w:ascii="Calibri" w:hAnsi="Calibri"/>
                <w:sz w:val="22"/>
              </w:rPr>
              <w:t>-220 bps</w:t>
            </w:r>
          </w:p>
        </w:tc>
        <w:tc>
          <w:tcPr>
            <w:tcW w:type="dxa" w:w="1234"/>
          </w:tcPr>
          <w:p>
            <w:r>
              <w:rPr>
                <w:rFonts w:ascii="Calibri" w:hAnsi="Calibri"/>
                <w:sz w:val="22"/>
              </w:rPr>
              <w:t>67% – 71%</w:t>
            </w:r>
          </w:p>
        </w:tc>
        <w:tc>
          <w:tcPr>
            <w:tcW w:type="dxa" w:w="1234"/>
          </w:tcPr>
          <w:p>
            <w:r>
              <w:rPr>
                <w:rFonts w:ascii="Calibri" w:hAnsi="Calibri"/>
                <w:sz w:val="22"/>
              </w:rPr>
              <w:t>+0.3% vs. 69% mid</w:t>
            </w:r>
          </w:p>
        </w:tc>
      </w:tr>
    </w:tbl>
    <w:p>
      <w:r>
        <w:rPr>
          <w:rFonts w:ascii="Calibri" w:hAnsi="Calibri"/>
          <w:i/>
          <w:color w:val="525866"/>
          <w:sz w:val="22"/>
        </w:rPr>
        <w:t>Source: Visible Alpha Consensus and Actuals Data; QCOM Q2 FY2026 Earnings Call (April 29, 2026). All consensus figures as of July 28, 2026.</w:t>
      </w:r>
    </w:p>
    <w:p>
      <w:pPr>
        <w:pStyle w:val="Heading2"/>
      </w:pPr>
      <w:r>
        <w:rPr>
          <w:rFonts w:ascii="Calibri" w:hAnsi="Calibri"/>
          <w:b/>
          <w:color w:val="3B4259"/>
          <w:sz w:val="28"/>
        </w:rPr>
        <w:t>Table 2 — Beat/Miss History (Last 8 Quarters, Top 2 KPIs)</w:t>
      </w:r>
    </w:p>
    <w:p>
      <w:r>
        <w:rPr>
          <w:rFonts w:ascii="Calibri" w:hAnsi="Calibri"/>
          <w:b/>
          <w:color w:val="525866"/>
          <w:sz w:val="22"/>
        </w:rPr>
        <w:t>Top 2 KPIs: Total Revenue (Operating) and Non-GAAP Diluted EPS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FY2026</w:t>
            </w:r>
          </w:p>
        </w:tc>
        <w:tc>
          <w:tcPr>
            <w:tcW w:type="dxa" w:w="1440"/>
          </w:tcPr>
          <w:p>
            <w:r>
              <w:rPr>
                <w:rFonts w:ascii="Calibri" w:hAnsi="Calibri"/>
                <w:sz w:val="22"/>
              </w:rPr>
              <w:t>Revenue</w:t>
            </w:r>
          </w:p>
        </w:tc>
        <w:tc>
          <w:tcPr>
            <w:tcW w:type="dxa" w:w="1440"/>
          </w:tcPr>
          <w:p>
            <w:r>
              <w:rPr>
                <w:rFonts w:ascii="Calibri" w:hAnsi="Calibri"/>
                <w:sz w:val="22"/>
              </w:rPr>
              <w:t>$10.60B</w:t>
            </w:r>
          </w:p>
        </w:tc>
        <w:tc>
          <w:tcPr>
            <w:tcW w:type="dxa" w:w="1440"/>
          </w:tcPr>
          <w:p>
            <w:r>
              <w:rPr>
                <w:rFonts w:ascii="Calibri" w:hAnsi="Calibri"/>
                <w:sz w:val="22"/>
              </w:rPr>
              <w:t>$10.58B</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EPS</w:t>
            </w:r>
          </w:p>
        </w:tc>
        <w:tc>
          <w:tcPr>
            <w:tcW w:type="dxa" w:w="1440"/>
          </w:tcPr>
          <w:p>
            <w:r>
              <w:rPr>
                <w:rFonts w:ascii="Calibri" w:hAnsi="Calibri"/>
                <w:sz w:val="22"/>
              </w:rPr>
              <w:t>$2.65</w:t>
            </w:r>
          </w:p>
        </w:tc>
        <w:tc>
          <w:tcPr>
            <w:tcW w:type="dxa" w:w="1440"/>
          </w:tcPr>
          <w:p>
            <w:r>
              <w:rPr>
                <w:rFonts w:ascii="Calibri" w:hAnsi="Calibri"/>
                <w:sz w:val="22"/>
              </w:rPr>
              <w:t>$2.56</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Revenue</w:t>
            </w:r>
          </w:p>
        </w:tc>
        <w:tc>
          <w:tcPr>
            <w:tcW w:type="dxa" w:w="1440"/>
          </w:tcPr>
          <w:p>
            <w:r>
              <w:rPr>
                <w:rFonts w:ascii="Calibri" w:hAnsi="Calibri"/>
                <w:sz w:val="22"/>
              </w:rPr>
              <w:t>$12.25B</w:t>
            </w:r>
          </w:p>
        </w:tc>
        <w:tc>
          <w:tcPr>
            <w:tcW w:type="dxa" w:w="1440"/>
          </w:tcPr>
          <w:p>
            <w:r>
              <w:rPr>
                <w:rFonts w:ascii="Calibri" w:hAnsi="Calibri"/>
                <w:sz w:val="22"/>
              </w:rPr>
              <w:t>$12.21B</w:t>
            </w:r>
          </w:p>
        </w:tc>
        <w:tc>
          <w:tcPr>
            <w:tcW w:type="dxa" w:w="1440"/>
          </w:tcPr>
          <w:p>
            <w:r>
              <w:rPr>
                <w:rFonts w:ascii="Calibri" w:hAnsi="Calibri"/>
                <w:b/>
                <w:color w:val="30A46C"/>
                <w:sz w:val="22"/>
              </w:rPr>
              <w:t>+0.3%</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EPS</w:t>
            </w:r>
          </w:p>
        </w:tc>
        <w:tc>
          <w:tcPr>
            <w:tcW w:type="dxa" w:w="1440"/>
          </w:tcPr>
          <w:p>
            <w:r>
              <w:rPr>
                <w:rFonts w:ascii="Calibri" w:hAnsi="Calibri"/>
                <w:sz w:val="22"/>
              </w:rPr>
              <w:t>$3.50</w:t>
            </w:r>
          </w:p>
        </w:tc>
        <w:tc>
          <w:tcPr>
            <w:tcW w:type="dxa" w:w="1440"/>
          </w:tcPr>
          <w:p>
            <w:r>
              <w:rPr>
                <w:rFonts w:ascii="Calibri" w:hAnsi="Calibri"/>
                <w:sz w:val="22"/>
              </w:rPr>
              <w:t>$3.41</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Revenue</w:t>
            </w:r>
          </w:p>
        </w:tc>
        <w:tc>
          <w:tcPr>
            <w:tcW w:type="dxa" w:w="1440"/>
          </w:tcPr>
          <w:p>
            <w:r>
              <w:rPr>
                <w:rFonts w:ascii="Calibri" w:hAnsi="Calibri"/>
                <w:sz w:val="22"/>
              </w:rPr>
              <w:t>$11.27B</w:t>
            </w:r>
          </w:p>
        </w:tc>
        <w:tc>
          <w:tcPr>
            <w:tcW w:type="dxa" w:w="1440"/>
          </w:tcPr>
          <w:p>
            <w:r>
              <w:rPr>
                <w:rFonts w:ascii="Calibri" w:hAnsi="Calibri"/>
                <w:sz w:val="22"/>
              </w:rPr>
              <w:t>$10.75B</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EPS</w:t>
            </w:r>
          </w:p>
        </w:tc>
        <w:tc>
          <w:tcPr>
            <w:tcW w:type="dxa" w:w="1440"/>
          </w:tcPr>
          <w:p>
            <w:r>
              <w:rPr>
                <w:rFonts w:ascii="Calibri" w:hAnsi="Calibri"/>
                <w:sz w:val="22"/>
              </w:rPr>
              <w:t>$3.00</w:t>
            </w:r>
          </w:p>
        </w:tc>
        <w:tc>
          <w:tcPr>
            <w:tcW w:type="dxa" w:w="1440"/>
          </w:tcPr>
          <w:p>
            <w:r>
              <w:rPr>
                <w:rFonts w:ascii="Calibri" w:hAnsi="Calibri"/>
                <w:sz w:val="22"/>
              </w:rPr>
              <w:t>$2.87</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Revenue</w:t>
            </w:r>
          </w:p>
        </w:tc>
        <w:tc>
          <w:tcPr>
            <w:tcW w:type="dxa" w:w="1440"/>
          </w:tcPr>
          <w:p>
            <w:r>
              <w:rPr>
                <w:rFonts w:ascii="Calibri" w:hAnsi="Calibri"/>
                <w:sz w:val="22"/>
              </w:rPr>
              <w:t>$10.37B</w:t>
            </w:r>
          </w:p>
        </w:tc>
        <w:tc>
          <w:tcPr>
            <w:tcW w:type="dxa" w:w="1440"/>
          </w:tcPr>
          <w:p>
            <w:r>
              <w:rPr>
                <w:rFonts w:ascii="Calibri" w:hAnsi="Calibri"/>
                <w:sz w:val="22"/>
              </w:rPr>
              <w:t>$10.34B</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EPS</w:t>
            </w:r>
          </w:p>
        </w:tc>
        <w:tc>
          <w:tcPr>
            <w:tcW w:type="dxa" w:w="1440"/>
          </w:tcPr>
          <w:p>
            <w:r>
              <w:rPr>
                <w:rFonts w:ascii="Calibri" w:hAnsi="Calibri"/>
                <w:sz w:val="22"/>
              </w:rPr>
              <w:t>$2.77</w:t>
            </w:r>
          </w:p>
        </w:tc>
        <w:tc>
          <w:tcPr>
            <w:tcW w:type="dxa" w:w="1440"/>
          </w:tcPr>
          <w:p>
            <w:r>
              <w:rPr>
                <w:rFonts w:ascii="Calibri" w:hAnsi="Calibri"/>
                <w:sz w:val="22"/>
              </w:rPr>
              <w:t>$2.70</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Revenue</w:t>
            </w:r>
          </w:p>
        </w:tc>
        <w:tc>
          <w:tcPr>
            <w:tcW w:type="dxa" w:w="1440"/>
          </w:tcPr>
          <w:p>
            <w:r>
              <w:rPr>
                <w:rFonts w:ascii="Calibri" w:hAnsi="Calibri"/>
                <w:sz w:val="22"/>
              </w:rPr>
              <w:t>$10.84B</w:t>
            </w:r>
          </w:p>
        </w:tc>
        <w:tc>
          <w:tcPr>
            <w:tcW w:type="dxa" w:w="1440"/>
          </w:tcPr>
          <w:p>
            <w:r>
              <w:rPr>
                <w:rFonts w:ascii="Calibri" w:hAnsi="Calibri"/>
                <w:sz w:val="22"/>
              </w:rPr>
              <w:t>$10.63B</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EPS</w:t>
            </w:r>
          </w:p>
        </w:tc>
        <w:tc>
          <w:tcPr>
            <w:tcW w:type="dxa" w:w="1440"/>
          </w:tcPr>
          <w:p>
            <w:r>
              <w:rPr>
                <w:rFonts w:ascii="Calibri" w:hAnsi="Calibri"/>
                <w:sz w:val="22"/>
              </w:rPr>
              <w:t>$2.85</w:t>
            </w:r>
          </w:p>
        </w:tc>
        <w:tc>
          <w:tcPr>
            <w:tcW w:type="dxa" w:w="1440"/>
          </w:tcPr>
          <w:p>
            <w:r>
              <w:rPr>
                <w:rFonts w:ascii="Calibri" w:hAnsi="Calibri"/>
                <w:sz w:val="22"/>
              </w:rPr>
              <w:t>$2.82</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Revenue</w:t>
            </w:r>
          </w:p>
        </w:tc>
        <w:tc>
          <w:tcPr>
            <w:tcW w:type="dxa" w:w="1440"/>
          </w:tcPr>
          <w:p>
            <w:r>
              <w:rPr>
                <w:rFonts w:ascii="Calibri" w:hAnsi="Calibri"/>
                <w:sz w:val="22"/>
              </w:rPr>
              <w:t>$11.67B</w:t>
            </w:r>
          </w:p>
        </w:tc>
        <w:tc>
          <w:tcPr>
            <w:tcW w:type="dxa" w:w="1440"/>
          </w:tcPr>
          <w:p>
            <w:r>
              <w:rPr>
                <w:rFonts w:ascii="Calibri" w:hAnsi="Calibri"/>
                <w:sz w:val="22"/>
              </w:rPr>
              <w:t>$10.90B</w:t>
            </w:r>
          </w:p>
        </w:tc>
        <w:tc>
          <w:tcPr>
            <w:tcW w:type="dxa" w:w="1440"/>
          </w:tcPr>
          <w:p>
            <w:r>
              <w:rPr>
                <w:rFonts w:ascii="Calibri" w:hAnsi="Calibri"/>
                <w:b/>
                <w:color w:val="30A46C"/>
                <w:sz w:val="22"/>
              </w:rPr>
              <w:t>+7.0%</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EPS</w:t>
            </w:r>
          </w:p>
        </w:tc>
        <w:tc>
          <w:tcPr>
            <w:tcW w:type="dxa" w:w="1440"/>
          </w:tcPr>
          <w:p>
            <w:r>
              <w:rPr>
                <w:rFonts w:ascii="Calibri" w:hAnsi="Calibri"/>
                <w:sz w:val="22"/>
              </w:rPr>
              <w:t>$3.41</w:t>
            </w:r>
          </w:p>
        </w:tc>
        <w:tc>
          <w:tcPr>
            <w:tcW w:type="dxa" w:w="1440"/>
          </w:tcPr>
          <w:p>
            <w:r>
              <w:rPr>
                <w:rFonts w:ascii="Calibri" w:hAnsi="Calibri"/>
                <w:sz w:val="22"/>
              </w:rPr>
              <w:t>$2.95</w:t>
            </w:r>
          </w:p>
        </w:tc>
        <w:tc>
          <w:tcPr>
            <w:tcW w:type="dxa" w:w="1440"/>
          </w:tcPr>
          <w:p>
            <w:r>
              <w:rPr>
                <w:rFonts w:ascii="Calibri" w:hAnsi="Calibri"/>
                <w:b/>
                <w:color w:val="30A46C"/>
                <w:sz w:val="22"/>
              </w:rPr>
              <w:t>+15.6%</w:t>
            </w:r>
          </w:p>
        </w:tc>
        <w:tc>
          <w:tcPr>
            <w:tcW w:type="dxa" w:w="1440"/>
          </w:tcPr>
          <w:p>
            <w:r>
              <w:rPr>
                <w:rFonts w:ascii="Calibri" w:hAnsi="Calibri"/>
                <w:sz w:val="22"/>
              </w:rPr>
              <w:t>Beat</w:t>
            </w:r>
          </w:p>
        </w:tc>
      </w:tr>
      <w:tr>
        <w:tc>
          <w:tcPr>
            <w:tcW w:type="dxa" w:w="1440"/>
          </w:tcPr>
          <w:p>
            <w:r>
              <w:rPr>
                <w:rFonts w:ascii="Calibri" w:hAnsi="Calibri"/>
                <w:sz w:val="22"/>
              </w:rPr>
              <w:t>Q4 FY2024</w:t>
            </w:r>
          </w:p>
        </w:tc>
        <w:tc>
          <w:tcPr>
            <w:tcW w:type="dxa" w:w="1440"/>
          </w:tcPr>
          <w:p>
            <w:r>
              <w:rPr>
                <w:rFonts w:ascii="Calibri" w:hAnsi="Calibri"/>
                <w:sz w:val="22"/>
              </w:rPr>
              <w:t>Revenue</w:t>
            </w:r>
          </w:p>
        </w:tc>
        <w:tc>
          <w:tcPr>
            <w:tcW w:type="dxa" w:w="1440"/>
          </w:tcPr>
          <w:p>
            <w:r>
              <w:rPr>
                <w:rFonts w:ascii="Calibri" w:hAnsi="Calibri"/>
                <w:sz w:val="22"/>
              </w:rPr>
              <w:t>$10.24B</w:t>
            </w:r>
          </w:p>
        </w:tc>
        <w:tc>
          <w:tcPr>
            <w:tcW w:type="dxa" w:w="1440"/>
          </w:tcPr>
          <w:p>
            <w:r>
              <w:rPr>
                <w:rFonts w:ascii="Calibri" w:hAnsi="Calibri"/>
                <w:sz w:val="22"/>
              </w:rPr>
              <w:t>$9.90B</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Q4 FY2024</w:t>
            </w:r>
          </w:p>
        </w:tc>
        <w:tc>
          <w:tcPr>
            <w:tcW w:type="dxa" w:w="1440"/>
          </w:tcPr>
          <w:p>
            <w:r>
              <w:rPr>
                <w:rFonts w:ascii="Calibri" w:hAnsi="Calibri"/>
                <w:sz w:val="22"/>
              </w:rPr>
              <w:t>EPS</w:t>
            </w:r>
          </w:p>
        </w:tc>
        <w:tc>
          <w:tcPr>
            <w:tcW w:type="dxa" w:w="1440"/>
          </w:tcPr>
          <w:p>
            <w:r>
              <w:rPr>
                <w:rFonts w:ascii="Calibri" w:hAnsi="Calibri"/>
                <w:sz w:val="22"/>
              </w:rPr>
              <w:t>$2.69</w:t>
            </w:r>
          </w:p>
        </w:tc>
        <w:tc>
          <w:tcPr>
            <w:tcW w:type="dxa" w:w="1440"/>
          </w:tcPr>
          <w:p>
            <w:r>
              <w:rPr>
                <w:rFonts w:ascii="Calibri" w:hAnsi="Calibri"/>
                <w:sz w:val="22"/>
              </w:rPr>
              <w:t>$2.56</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Q3 FY2024</w:t>
            </w:r>
          </w:p>
        </w:tc>
        <w:tc>
          <w:tcPr>
            <w:tcW w:type="dxa" w:w="1440"/>
          </w:tcPr>
          <w:p>
            <w:r>
              <w:rPr>
                <w:rFonts w:ascii="Calibri" w:hAnsi="Calibri"/>
                <w:sz w:val="22"/>
              </w:rPr>
              <w:t>Revenue</w:t>
            </w:r>
          </w:p>
        </w:tc>
        <w:tc>
          <w:tcPr>
            <w:tcW w:type="dxa" w:w="1440"/>
          </w:tcPr>
          <w:p>
            <w:r>
              <w:rPr>
                <w:rFonts w:ascii="Calibri" w:hAnsi="Calibri"/>
                <w:sz w:val="22"/>
              </w:rPr>
              <w:t>$9.39B</w:t>
            </w:r>
          </w:p>
        </w:tc>
        <w:tc>
          <w:tcPr>
            <w:tcW w:type="dxa" w:w="1440"/>
          </w:tcPr>
          <w:p>
            <w:r>
              <w:rPr>
                <w:rFonts w:ascii="Calibri" w:hAnsi="Calibri"/>
                <w:sz w:val="22"/>
              </w:rPr>
              <w:t>$9.23B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Q3 FY2024</w:t>
            </w:r>
          </w:p>
        </w:tc>
        <w:tc>
          <w:tcPr>
            <w:tcW w:type="dxa" w:w="1440"/>
          </w:tcPr>
          <w:p>
            <w:r>
              <w:rPr>
                <w:rFonts w:ascii="Calibri" w:hAnsi="Calibri"/>
                <w:sz w:val="22"/>
              </w:rPr>
              <w:t>EPS</w:t>
            </w:r>
          </w:p>
        </w:tc>
        <w:tc>
          <w:tcPr>
            <w:tcW w:type="dxa" w:w="1440"/>
          </w:tcPr>
          <w:p>
            <w:r>
              <w:rPr>
                <w:rFonts w:ascii="Calibri" w:hAnsi="Calibri"/>
                <w:sz w:val="22"/>
              </w:rPr>
              <w:t>$2.33</w:t>
            </w:r>
          </w:p>
        </w:tc>
        <w:tc>
          <w:tcPr>
            <w:tcW w:type="dxa" w:w="1440"/>
          </w:tcPr>
          <w:p>
            <w:r>
              <w:rPr>
                <w:rFonts w:ascii="Calibri" w:hAnsi="Calibri"/>
                <w:sz w:val="22"/>
              </w:rPr>
              <w:t>$2.26</w:t>
            </w:r>
          </w:p>
        </w:tc>
        <w:tc>
          <w:tcPr>
            <w:tcW w:type="dxa" w:w="1440"/>
          </w:tcPr>
          <w:p>
            <w:r>
              <w:rPr>
                <w:rFonts w:ascii="Calibri" w:hAnsi="Calibri"/>
                <w:b/>
                <w:color w:val="30A46C"/>
                <w:sz w:val="22"/>
              </w:rPr>
              <w:t>+3.3%</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QCOM has beaten consensus on both revenue and EPS in each of the last 8 reported quarters, with EPS beats consistently larger than revenue beats — a track record that sets a high behavioral bar even when the absolute guidance level is low.</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29 earnings call, but tone has shifted materially more constructive — the June 24 Investor Day doubled the FY2029 non-handset revenue target to $40B, introduced a $5B FY2027 data center revenue target, and announced the Meta CPU supply deal and Microsoft Azure HBC partnership, all of which represent significant positive developments above and beyond the original Q3 guidance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29,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Total Revenue</w:t>
            </w:r>
          </w:p>
        </w:tc>
        <w:tc>
          <w:tcPr>
            <w:tcW w:type="dxa" w:w="1728"/>
          </w:tcPr>
          <w:p>
            <w:r>
              <w:rPr>
                <w:rFonts w:ascii="Calibri" w:hAnsi="Calibri"/>
                <w:sz w:val="22"/>
              </w:rPr>
              <w:t>$9.2B – $10.0B</w:t>
            </w:r>
          </w:p>
        </w:tc>
        <w:tc>
          <w:tcPr>
            <w:tcW w:type="dxa" w:w="1728"/>
          </w:tcPr>
          <w:p>
            <w:r>
              <w:rPr>
                <w:rFonts w:ascii="Calibri" w:hAnsi="Calibri"/>
                <w:sz w:val="22"/>
              </w:rPr>
              <w:t>—</w:t>
            </w:r>
          </w:p>
        </w:tc>
        <w:tc>
          <w:tcPr>
            <w:tcW w:type="dxa" w:w="1728"/>
          </w:tcPr>
          <w:p>
            <w:r>
              <w:rPr>
                <w:rFonts w:ascii="Calibri" w:hAnsi="Calibri"/>
                <w:sz w:val="22"/>
              </w:rPr>
              <w:t>$9.66B</w:t>
            </w:r>
          </w:p>
        </w:tc>
        <w:tc>
          <w:tcPr>
            <w:tcW w:type="dxa" w:w="1728"/>
          </w:tcPr>
          <w:p>
            <w:r>
              <w:rPr>
                <w:rFonts w:ascii="Calibri" w:hAnsi="Calibri"/>
                <w:sz w:val="22"/>
              </w:rPr>
              <w:t>Unchanged; consensus sits ~$66M above midpoint</w:t>
            </w:r>
          </w:p>
        </w:tc>
      </w:tr>
      <w:tr>
        <w:tc>
          <w:tcPr>
            <w:tcW w:type="dxa" w:w="1728"/>
          </w:tcPr>
          <w:p>
            <w:r>
              <w:rPr>
                <w:rFonts w:ascii="Calibri" w:hAnsi="Calibri"/>
                <w:sz w:val="22"/>
              </w:rPr>
              <w:t>Q3 FY2026 Non-GAAP EPS</w:t>
            </w:r>
          </w:p>
        </w:tc>
        <w:tc>
          <w:tcPr>
            <w:tcW w:type="dxa" w:w="1728"/>
          </w:tcPr>
          <w:p>
            <w:r>
              <w:rPr>
                <w:rFonts w:ascii="Calibri" w:hAnsi="Calibri"/>
                <w:sz w:val="22"/>
              </w:rPr>
              <w:t>$2.10 – $2.30</w:t>
            </w:r>
          </w:p>
        </w:tc>
        <w:tc>
          <w:tcPr>
            <w:tcW w:type="dxa" w:w="1728"/>
          </w:tcPr>
          <w:p>
            <w:r>
              <w:rPr>
                <w:rFonts w:ascii="Calibri" w:hAnsi="Calibri"/>
                <w:sz w:val="22"/>
              </w:rPr>
              <w:t>—</w:t>
            </w:r>
          </w:p>
        </w:tc>
        <w:tc>
          <w:tcPr>
            <w:tcW w:type="dxa" w:w="1728"/>
          </w:tcPr>
          <w:p>
            <w:r>
              <w:rPr>
                <w:rFonts w:ascii="Calibri" w:hAnsi="Calibri"/>
                <w:sz w:val="22"/>
              </w:rPr>
              <w:t>$2.23</w:t>
            </w:r>
          </w:p>
        </w:tc>
        <w:tc>
          <w:tcPr>
            <w:tcW w:type="dxa" w:w="1728"/>
          </w:tcPr>
          <w:p>
            <w:r>
              <w:rPr>
                <w:rFonts w:ascii="Calibri" w:hAnsi="Calibri"/>
                <w:sz w:val="22"/>
              </w:rPr>
              <w:t>Unchanged; consensus at midpoint</w:t>
            </w:r>
          </w:p>
        </w:tc>
      </w:tr>
      <w:tr>
        <w:tc>
          <w:tcPr>
            <w:tcW w:type="dxa" w:w="1728"/>
          </w:tcPr>
          <w:p>
            <w:r>
              <w:rPr>
                <w:rFonts w:ascii="Calibri" w:hAnsi="Calibri"/>
                <w:sz w:val="22"/>
              </w:rPr>
              <w:t>Q3 FY2026 QCT Revenue</w:t>
            </w:r>
          </w:p>
        </w:tc>
        <w:tc>
          <w:tcPr>
            <w:tcW w:type="dxa" w:w="1728"/>
          </w:tcPr>
          <w:p>
            <w:r>
              <w:rPr>
                <w:rFonts w:ascii="Calibri" w:hAnsi="Calibri"/>
                <w:sz w:val="22"/>
              </w:rPr>
              <w:t>$7.9B – $8.5B</w:t>
            </w:r>
          </w:p>
        </w:tc>
        <w:tc>
          <w:tcPr>
            <w:tcW w:type="dxa" w:w="1728"/>
          </w:tcPr>
          <w:p>
            <w:r>
              <w:rPr>
                <w:rFonts w:ascii="Calibri" w:hAnsi="Calibri"/>
                <w:sz w:val="22"/>
              </w:rPr>
              <w:t>—</w:t>
            </w:r>
          </w:p>
        </w:tc>
        <w:tc>
          <w:tcPr>
            <w:tcW w:type="dxa" w:w="1728"/>
          </w:tcPr>
          <w:p>
            <w:r>
              <w:rPr>
                <w:rFonts w:ascii="Calibri" w:hAnsi="Calibri"/>
                <w:sz w:val="22"/>
              </w:rPr>
              <w:t>$8.26B</w:t>
            </w:r>
          </w:p>
        </w:tc>
        <w:tc>
          <w:tcPr>
            <w:tcW w:type="dxa" w:w="1728"/>
          </w:tcPr>
          <w:p>
            <w:r>
              <w:rPr>
                <w:rFonts w:ascii="Calibri" w:hAnsi="Calibri"/>
                <w:sz w:val="22"/>
              </w:rPr>
              <w:t>Unchanged; consensus at midpoint</w:t>
            </w:r>
          </w:p>
        </w:tc>
      </w:tr>
      <w:tr>
        <w:tc>
          <w:tcPr>
            <w:tcW w:type="dxa" w:w="1728"/>
          </w:tcPr>
          <w:p>
            <w:r>
              <w:rPr>
                <w:rFonts w:ascii="Calibri" w:hAnsi="Calibri"/>
                <w:sz w:val="22"/>
              </w:rPr>
              <w:t>Q3 FY2026 QCT EBT Margin</w:t>
            </w:r>
          </w:p>
        </w:tc>
        <w:tc>
          <w:tcPr>
            <w:tcW w:type="dxa" w:w="1728"/>
          </w:tcPr>
          <w:p>
            <w:r>
              <w:rPr>
                <w:rFonts w:ascii="Calibri" w:hAnsi="Calibri"/>
                <w:sz w:val="22"/>
              </w:rPr>
              <w:t>25% – 27%</w:t>
            </w:r>
          </w:p>
        </w:tc>
        <w:tc>
          <w:tcPr>
            <w:tcW w:type="dxa" w:w="1728"/>
          </w:tcPr>
          <w:p>
            <w:r>
              <w:rPr>
                <w:rFonts w:ascii="Calibri" w:hAnsi="Calibri"/>
                <w:sz w:val="22"/>
              </w:rPr>
              <w:t>—</w:t>
            </w:r>
          </w:p>
        </w:tc>
        <w:tc>
          <w:tcPr>
            <w:tcW w:type="dxa" w:w="1728"/>
          </w:tcPr>
          <w:p>
            <w:r>
              <w:rPr>
                <w:rFonts w:ascii="Calibri" w:hAnsi="Calibri"/>
                <w:sz w:val="22"/>
              </w:rPr>
              <w:t>25.9%</w:t>
            </w:r>
          </w:p>
        </w:tc>
        <w:tc>
          <w:tcPr>
            <w:tcW w:type="dxa" w:w="1728"/>
          </w:tcPr>
          <w:p>
            <w:r>
              <w:rPr>
                <w:rFonts w:ascii="Calibri" w:hAnsi="Calibri"/>
                <w:sz w:val="22"/>
              </w:rPr>
              <w:t>Unchanged; consensus near midpoint</w:t>
            </w:r>
          </w:p>
        </w:tc>
      </w:tr>
      <w:tr>
        <w:tc>
          <w:tcPr>
            <w:tcW w:type="dxa" w:w="1728"/>
          </w:tcPr>
          <w:p>
            <w:r>
              <w:rPr>
                <w:rFonts w:ascii="Calibri" w:hAnsi="Calibri"/>
                <w:sz w:val="22"/>
              </w:rPr>
              <w:t>Q3 FY2026 QTL Revenue</w:t>
            </w:r>
          </w:p>
        </w:tc>
        <w:tc>
          <w:tcPr>
            <w:tcW w:type="dxa" w:w="1728"/>
          </w:tcPr>
          <w:p>
            <w:r>
              <w:rPr>
                <w:rFonts w:ascii="Calibri" w:hAnsi="Calibri"/>
                <w:sz w:val="22"/>
              </w:rPr>
              <w:t>$1.15B – $1.35B</w:t>
            </w:r>
          </w:p>
        </w:tc>
        <w:tc>
          <w:tcPr>
            <w:tcW w:type="dxa" w:w="1728"/>
          </w:tcPr>
          <w:p>
            <w:r>
              <w:rPr>
                <w:rFonts w:ascii="Calibri" w:hAnsi="Calibri"/>
                <w:sz w:val="22"/>
              </w:rPr>
              <w:t>—</w:t>
            </w:r>
          </w:p>
        </w:tc>
        <w:tc>
          <w:tcPr>
            <w:tcW w:type="dxa" w:w="1728"/>
          </w:tcPr>
          <w:p>
            <w:r>
              <w:rPr>
                <w:rFonts w:ascii="Calibri" w:hAnsi="Calibri"/>
                <w:sz w:val="22"/>
              </w:rPr>
              <w:t>$1.25B</w:t>
            </w:r>
          </w:p>
        </w:tc>
        <w:tc>
          <w:tcPr>
            <w:tcW w:type="dxa" w:w="1728"/>
          </w:tcPr>
          <w:p>
            <w:r>
              <w:rPr>
                <w:rFonts w:ascii="Calibri" w:hAnsi="Calibri"/>
                <w:sz w:val="22"/>
              </w:rPr>
              <w:t>Unchanged; consensus at midpoint</w:t>
            </w:r>
          </w:p>
        </w:tc>
      </w:tr>
      <w:tr>
        <w:tc>
          <w:tcPr>
            <w:tcW w:type="dxa" w:w="1728"/>
          </w:tcPr>
          <w:p>
            <w:r>
              <w:rPr>
                <w:rFonts w:ascii="Calibri" w:hAnsi="Calibri"/>
                <w:sz w:val="22"/>
              </w:rPr>
              <w:t>Q3 FY2026 QTL EBT Margin</w:t>
            </w:r>
          </w:p>
        </w:tc>
        <w:tc>
          <w:tcPr>
            <w:tcW w:type="dxa" w:w="1728"/>
          </w:tcPr>
          <w:p>
            <w:r>
              <w:rPr>
                <w:rFonts w:ascii="Calibri" w:hAnsi="Calibri"/>
                <w:sz w:val="22"/>
              </w:rPr>
              <w:t>67% – 71%</w:t>
            </w:r>
          </w:p>
        </w:tc>
        <w:tc>
          <w:tcPr>
            <w:tcW w:type="dxa" w:w="1728"/>
          </w:tcPr>
          <w:p>
            <w:r>
              <w:rPr>
                <w:rFonts w:ascii="Calibri" w:hAnsi="Calibri"/>
                <w:sz w:val="22"/>
              </w:rPr>
              <w:t>—</w:t>
            </w:r>
          </w:p>
        </w:tc>
        <w:tc>
          <w:tcPr>
            <w:tcW w:type="dxa" w:w="1728"/>
          </w:tcPr>
          <w:p>
            <w:r>
              <w:rPr>
                <w:rFonts w:ascii="Calibri" w:hAnsi="Calibri"/>
                <w:sz w:val="22"/>
              </w:rPr>
              <w:t>69.3%</w:t>
            </w:r>
          </w:p>
        </w:tc>
        <w:tc>
          <w:tcPr>
            <w:tcW w:type="dxa" w:w="1728"/>
          </w:tcPr>
          <w:p>
            <w:r>
              <w:rPr>
                <w:rFonts w:ascii="Calibri" w:hAnsi="Calibri"/>
                <w:sz w:val="22"/>
              </w:rPr>
              <w:t>Unchanged; consensus at midpoint</w:t>
            </w:r>
          </w:p>
        </w:tc>
      </w:tr>
      <w:tr>
        <w:tc>
          <w:tcPr>
            <w:tcW w:type="dxa" w:w="1728"/>
          </w:tcPr>
          <w:p>
            <w:r>
              <w:rPr>
                <w:rFonts w:ascii="Calibri" w:hAnsi="Calibri"/>
                <w:sz w:val="22"/>
              </w:rPr>
              <w:t>Q3 FY2026 Non-GAAP OpEx</w:t>
            </w:r>
          </w:p>
        </w:tc>
        <w:tc>
          <w:tcPr>
            <w:tcW w:type="dxa" w:w="1728"/>
          </w:tcPr>
          <w:p>
            <w:r>
              <w:rPr>
                <w:rFonts w:ascii="Calibri" w:hAnsi="Calibri"/>
                <w:sz w:val="22"/>
              </w:rPr>
              <w:t>~$2.6B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QCT Handset Revenue (Q3)</w:t>
            </w:r>
          </w:p>
        </w:tc>
        <w:tc>
          <w:tcPr>
            <w:tcW w:type="dxa" w:w="1728"/>
          </w:tcPr>
          <w:p>
            <w:r>
              <w:rPr>
                <w:rFonts w:ascii="Calibri" w:hAnsi="Calibri"/>
                <w:sz w:val="22"/>
              </w:rPr>
              <w:t>~$4.9B (trough; China Android bottom in Q3, recovery in Q4)</w:t>
            </w:r>
          </w:p>
        </w:tc>
        <w:tc>
          <w:tcPr>
            <w:tcW w:type="dxa" w:w="1728"/>
          </w:tcPr>
          <w:p>
            <w:r>
              <w:rPr>
                <w:rFonts w:ascii="Calibri" w:hAnsi="Calibri"/>
                <w:sz w:val="22"/>
              </w:rPr>
              <w:t>—</w:t>
            </w:r>
          </w:p>
        </w:tc>
        <w:tc>
          <w:tcPr>
            <w:tcW w:type="dxa" w:w="1728"/>
          </w:tcPr>
          <w:p>
            <w:r>
              <w:rPr>
                <w:rFonts w:ascii="Calibri" w:hAnsi="Calibri"/>
                <w:sz w:val="22"/>
              </w:rPr>
              <w:t>$4.96B</w:t>
            </w:r>
          </w:p>
        </w:tc>
        <w:tc>
          <w:tcPr>
            <w:tcW w:type="dxa" w:w="1728"/>
          </w:tcPr>
          <w:p>
            <w:r>
              <w:rPr>
                <w:rFonts w:ascii="Calibri" w:hAnsi="Calibri"/>
                <w:sz w:val="22"/>
              </w:rPr>
              <w:t>Unchanged; management tone: explicit bottom call, more confident on recovery timeline</w:t>
            </w:r>
          </w:p>
        </w:tc>
      </w:tr>
      <w:tr>
        <w:tc>
          <w:tcPr>
            <w:tcW w:type="dxa" w:w="1728"/>
          </w:tcPr>
          <w:p>
            <w:r>
              <w:rPr>
                <w:rFonts w:ascii="Calibri" w:hAnsi="Calibri"/>
                <w:sz w:val="22"/>
              </w:rPr>
              <w:t>QCT Automotive Revenue (Q3)</w:t>
            </w:r>
          </w:p>
        </w:tc>
        <w:tc>
          <w:tcPr>
            <w:tcW w:type="dxa" w:w="1728"/>
          </w:tcPr>
          <w:p>
            <w:r>
              <w:rPr>
                <w:rFonts w:ascii="Calibri" w:hAnsi="Calibri"/>
                <w:sz w:val="22"/>
              </w:rPr>
              <w:t>~50% YoY growth (acceleration from Q2’s ~38%)</w:t>
            </w:r>
          </w:p>
        </w:tc>
        <w:tc>
          <w:tcPr>
            <w:tcW w:type="dxa" w:w="1728"/>
          </w:tcPr>
          <w:p>
            <w:r>
              <w:rPr>
                <w:rFonts w:ascii="Calibri" w:hAnsi="Calibri"/>
                <w:sz w:val="22"/>
              </w:rPr>
              <w:t>—</w:t>
            </w:r>
          </w:p>
        </w:tc>
        <w:tc>
          <w:tcPr>
            <w:tcW w:type="dxa" w:w="1728"/>
          </w:tcPr>
          <w:p>
            <w:r>
              <w:rPr>
                <w:rFonts w:ascii="Calibri" w:hAnsi="Calibri"/>
                <w:sz w:val="22"/>
              </w:rPr>
              <w:t>$1.48B (+50.6% YoY)</w:t>
            </w:r>
          </w:p>
        </w:tc>
        <w:tc>
          <w:tcPr>
            <w:tcW w:type="dxa" w:w="1728"/>
          </w:tcPr>
          <w:p>
            <w:r>
              <w:rPr>
                <w:rFonts w:ascii="Calibri" w:hAnsi="Calibri"/>
                <w:sz w:val="22"/>
              </w:rPr>
              <w:t>Unchanged; Investor Day raised FY2029 auto target to $10B and expanded pipeline to $65B</w:t>
            </w:r>
          </w:p>
        </w:tc>
      </w:tr>
      <w:tr>
        <w:tc>
          <w:tcPr>
            <w:tcW w:type="dxa" w:w="1728"/>
          </w:tcPr>
          <w:p>
            <w:r>
              <w:rPr>
                <w:rFonts w:ascii="Calibri" w:hAnsi="Calibri"/>
                <w:sz w:val="22"/>
              </w:rPr>
              <w:t>FY2029 Non-Handset Revenue Target</w:t>
            </w:r>
          </w:p>
        </w:tc>
        <w:tc>
          <w:tcPr>
            <w:tcW w:type="dxa" w:w="1728"/>
          </w:tcPr>
          <w:p>
            <w:r>
              <w:rPr>
                <w:rFonts w:ascii="Calibri" w:hAnsi="Calibri"/>
                <w:sz w:val="22"/>
              </w:rPr>
              <w:t>$22B (prior target)</w:t>
            </w:r>
          </w:p>
        </w:tc>
        <w:tc>
          <w:tcPr>
            <w:tcW w:type="dxa" w:w="1728"/>
          </w:tcPr>
          <w:p>
            <w:r>
              <w:rPr>
                <w:rFonts w:ascii="Calibri" w:hAnsi="Calibri"/>
                <w:sz w:val="22"/>
              </w:rPr>
              <w:t>↑ Raised to $40B at Investor Day (June 24, 2026)</w:t>
            </w:r>
          </w:p>
        </w:tc>
        <w:tc>
          <w:tcPr>
            <w:tcW w:type="dxa" w:w="1728"/>
          </w:tcPr>
          <w:p>
            <w:r>
              <w:rPr>
                <w:rFonts w:ascii="Calibri" w:hAnsi="Calibri"/>
                <w:sz w:val="22"/>
              </w:rPr>
              <w:t>N/A (FY2029)</w:t>
            </w:r>
          </w:p>
        </w:tc>
        <w:tc>
          <w:tcPr>
            <w:tcW w:type="dxa" w:w="1728"/>
          </w:tcPr>
          <w:p>
            <w:r>
              <w:rPr>
                <w:rFonts w:ascii="Calibri" w:hAnsi="Calibri"/>
                <w:sz w:val="22"/>
              </w:rPr>
              <w:t>↑ Doubled at Investor Day; includes $15B data center, $10B auto, $14B+ IoT</w:t>
            </w:r>
          </w:p>
        </w:tc>
      </w:tr>
      <w:tr>
        <w:tc>
          <w:tcPr>
            <w:tcW w:type="dxa" w:w="1728"/>
          </w:tcPr>
          <w:p>
            <w:r>
              <w:rPr>
                <w:rFonts w:ascii="Calibri" w:hAnsi="Calibri"/>
                <w:sz w:val="22"/>
              </w:rPr>
              <w:t>FY2027 Data Center Revenue Target</w:t>
            </w:r>
          </w:p>
        </w:tc>
        <w:tc>
          <w:tcPr>
            <w:tcW w:type="dxa" w:w="1728"/>
          </w:tcPr>
          <w:p>
            <w:r>
              <w:rPr>
                <w:rFonts w:ascii="Calibri" w:hAnsi="Calibri"/>
                <w:sz w:val="22"/>
              </w:rPr>
              <w:t>“Material” = multiple billions (Bernstein Conference, May 2026)</w:t>
            </w:r>
          </w:p>
        </w:tc>
        <w:tc>
          <w:tcPr>
            <w:tcW w:type="dxa" w:w="1728"/>
          </w:tcPr>
          <w:p>
            <w:r>
              <w:rPr>
                <w:rFonts w:ascii="Calibri" w:hAnsi="Calibri"/>
                <w:sz w:val="22"/>
              </w:rPr>
              <w:t>↑ Raised to $5B at Investor Day (June 24, 2026)</w:t>
            </w:r>
          </w:p>
        </w:tc>
        <w:tc>
          <w:tcPr>
            <w:tcW w:type="dxa" w:w="1728"/>
          </w:tcPr>
          <w:p>
            <w:r>
              <w:rPr>
                <w:rFonts w:ascii="Calibri" w:hAnsi="Calibri"/>
                <w:sz w:val="22"/>
              </w:rPr>
              <w:t>N/A (FY2027)</w:t>
            </w:r>
          </w:p>
        </w:tc>
        <w:tc>
          <w:tcPr>
            <w:tcW w:type="dxa" w:w="1728"/>
          </w:tcPr>
          <w:p>
            <w:r>
              <w:rPr>
                <w:rFonts w:ascii="Calibri" w:hAnsi="Calibri"/>
                <w:sz w:val="22"/>
              </w:rPr>
              <w:t>↑ Specific $5B target set; Meta CPU deal and Microsoft Azure HBC partnership announced</w:t>
            </w:r>
          </w:p>
        </w:tc>
      </w:tr>
      <w:tr>
        <w:tc>
          <w:tcPr>
            <w:tcW w:type="dxa" w:w="1728"/>
          </w:tcPr>
          <w:p>
            <w:r>
              <w:rPr>
                <w:rFonts w:ascii="Calibri" w:hAnsi="Calibri"/>
                <w:sz w:val="22"/>
              </w:rPr>
              <w:t>FY2026 Automotive Exit Run Rate</w:t>
            </w:r>
          </w:p>
        </w:tc>
        <w:tc>
          <w:tcPr>
            <w:tcW w:type="dxa" w:w="1728"/>
          </w:tcPr>
          <w:p>
            <w:r>
              <w:rPr>
                <w:rFonts w:ascii="Calibri" w:hAnsi="Calibri"/>
                <w:sz w:val="22"/>
              </w:rPr>
              <w:t>Above $6B annualized</w:t>
            </w:r>
          </w:p>
        </w:tc>
        <w:tc>
          <w:tcPr>
            <w:tcW w:type="dxa" w:w="1728"/>
          </w:tcPr>
          <w:p>
            <w:r>
              <w:rPr>
                <w:rFonts w:ascii="Calibri" w:hAnsi="Calibri"/>
                <w:sz w:val="22"/>
              </w:rPr>
              <w:t>—</w:t>
            </w:r>
          </w:p>
        </w:tc>
        <w:tc>
          <w:tcPr>
            <w:tcW w:type="dxa" w:w="1728"/>
          </w:tcPr>
          <w:p>
            <w:r>
              <w:rPr>
                <w:rFonts w:ascii="Calibri" w:hAnsi="Calibri"/>
                <w:sz w:val="22"/>
              </w:rPr>
              <w:t>$5.46B FY2026 consensus</w:t>
            </w:r>
          </w:p>
        </w:tc>
        <w:tc>
          <w:tcPr>
            <w:tcW w:type="dxa" w:w="1728"/>
          </w:tcPr>
          <w:p>
            <w:r>
              <w:rPr>
                <w:rFonts w:ascii="Calibri" w:hAnsi="Calibri"/>
                <w:sz w:val="22"/>
              </w:rPr>
              <w:t>Unchanged; Investor Day confirmed $6B exit run rate target</w:t>
            </w:r>
          </w:p>
        </w:tc>
      </w:tr>
    </w:tbl>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QCOM has underperformed the SOXX semiconductor index since last earnings (+4.4% vs. SOXX +9.2%), suggesting the market is discounting the Investor Day’s transformational data center targets and treating the handset trough as the dominant near-term narrative — the multiple remains compressed relative to sector peers, implying the stock is sentiment-driven rather than revision-driven.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QCOM vs. SOXX (Semiconductor ETF) vs. SPY — Indexed to 100 at April 29, 2026 (Last Earnings Date). QCOM +4.4%, SOXX +9.2%, SPY +4.1% through July 29, 2026. Key events marked: Investor Day (June 24) with Meta CPU deal, Microsoft Azure HBC partnership, and $40B FY2029 non-handset revenue target. Source: Yahoo Finance / Stock Price Data.</w:t>
      </w:r>
    </w:p>
    <w:p>
      <w:r>
        <w:rPr>
          <w:rFonts w:ascii="Calibri" w:hAnsi="Calibri"/>
          <w:color w:val="525866"/>
          <w:sz w:val="22"/>
        </w:rPr>
        <w:t>QCOM has lagged the SOXX by approximately 480 basis points since the April 29 earnings print, despite a series of materially positive strategic announcements at the June 24 Investor Day. The underperformance is consistent with the market’s continued skepticism around execution on diversification — particularly data center, where revenue is not expected to ramp meaningfully until Q1 FY2027. The stock trades at a meaningful discount to semiconductor peers on forward earnings multiples (mid-teens vs. sector median in the high twenties to low thirties), creating a setup where a clean Q3 print with a constructive Q4 recovery guide could catalyze multiple re-rating. The SPY has been essentially flat over the same period (+4.1%), suggesting QCOM’s underperformance vs. SOXX is sector-specific rather than macro-driven.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June 24 Investor Day was the most consequential post-earnings event — doubling the FY2029 non-handset revenue target to $40B and announcing the Meta CPU supply deal and Microsoft Azure HBC partnership — but the stock’s muted reaction suggests the market is waiting for Q3 execution to validate the data center narrative before re-rating.</w:t>
      </w:r>
    </w:p>
    <w:p>
      <w:pPr>
        <w:pStyle w:val="ListBullet"/>
        <w:ind w:left="360" w:hanging="360"/>
      </w:pPr>
      <w:r>
        <w:rPr>
          <w:rFonts w:ascii="Calibri" w:hAnsi="Calibri"/>
          <w:b/>
          <w:color w:val="525866"/>
          <w:sz w:val="22"/>
        </w:rPr>
        <w:t xml:space="preserve">June 24, 2026 — Investor Day: Qualcomm doubled its FY2029 non-handset revenue target to $40B (from $22B), set a $5B FY2027 data center revenue target, and unveiled the Dragonfly data center platform (AI200, AI250, AI300 accelerators; C1000 CPU). </w:t>
      </w:r>
      <w:r>
        <w:rPr>
          <w:rFonts w:ascii="Calibri" w:hAnsi="Calibri"/>
          <w:color w:val="525866"/>
          <w:sz w:val="22"/>
        </w:rPr>
        <w:t>Announced Meta as a multi-generation CPU supply partner (Dragonfly C1000 to power Meta’s next-generation server fleet) and Microsoft as an Azure HBC deployment partner (Project Solara). Acquired Modular (AI software/unified compute layer) to build a portable alternative to NVIDIA’s software stack. Automotive pipeline expanded to $65B design wins; FY2029 auto target raised to $10B. Implication: Largest strategic reset in years; sets a credible data center revenue ramp timeline but execution risk remains high given commercial availability of key products in 2027–2028.</w:t>
      </w:r>
    </w:p>
    <w:p>
      <w:pPr>
        <w:pStyle w:val="ListBullet"/>
        <w:ind w:left="360" w:hanging="360"/>
      </w:pPr>
      <w:r>
        <w:rPr>
          <w:rFonts w:ascii="Calibri" w:hAnsi="Calibri"/>
          <w:b/>
          <w:color w:val="525866"/>
          <w:sz w:val="22"/>
        </w:rPr>
        <w:t xml:space="preserve">June 24, 2026 — Modular Acquisition (8-K): </w:t>
      </w:r>
      <w:r>
        <w:rPr>
          <w:rFonts w:ascii="Calibri" w:hAnsi="Calibri"/>
          <w:color w:val="525866"/>
          <w:sz w:val="22"/>
        </w:rPr>
        <w:t>QCOM announced it will fund the Modular acquisition with up to 19.2 million unregistered shares. Modular’s platform enables AI models to run on any hardware, positioning Qualcomm as a software-layer competitor to NVIDIA’s CUDA ecosystem. Implication: Dilutive in the near term but strategically important for data center software stack differentiation.</w:t>
      </w:r>
    </w:p>
    <w:p>
      <w:pPr>
        <w:pStyle w:val="ListBullet"/>
        <w:ind w:left="360" w:hanging="360"/>
      </w:pPr>
      <w:r>
        <w:rPr>
          <w:rFonts w:ascii="Calibri" w:hAnsi="Calibri"/>
          <w:b/>
          <w:color w:val="525866"/>
          <w:sz w:val="22"/>
        </w:rPr>
        <w:t xml:space="preserve">Pre-May 2026 — ByteDance Custom ASIC Deal: </w:t>
      </w:r>
      <w:r>
        <w:rPr>
          <w:rFonts w:ascii="Calibri" w:hAnsi="Calibri"/>
          <w:color w:val="525866"/>
          <w:sz w:val="22"/>
        </w:rPr>
        <w:t>ByteDance (TikTok parent) reported as a named ASIC customer for AI agent inference workloads, with the deal also including chip manufacturing services. Reported to fall within current U.S. export control boundaries. Implication: First named hyperscaler-adjacent ASIC customer; validates the custom silicon go-to-market strategy ahead of the Investor Day.</w:t>
      </w:r>
    </w:p>
    <w:p>
      <w:pPr>
        <w:pStyle w:val="ListBullet"/>
        <w:ind w:left="360" w:hanging="360"/>
      </w:pPr>
      <w:r>
        <w:rPr>
          <w:rFonts w:ascii="Calibri" w:hAnsi="Calibri"/>
          <w:b/>
          <w:color w:val="525866"/>
          <w:sz w:val="22"/>
        </w:rPr>
        <w:t xml:space="preserve">April 29, 2026 — Q2 FY2026 Earnings: </w:t>
      </w:r>
      <w:r>
        <w:rPr>
          <w:rFonts w:ascii="Calibri" w:hAnsi="Calibri"/>
          <w:color w:val="525866"/>
          <w:sz w:val="22"/>
        </w:rPr>
        <w:t>Beat on revenue and EPS (high end of guidance); Q3 guidance significantly below consensus ($9.2B–$10.0B vs. ~$10.2B consensus). Management called Q3 the trough for China Android shipments. Raised quarterly dividend and authorized a large share repurchase program. Custom silicon hyperscaler engagement announced with December 2026 quarter initial shipments. Implication: Guidance reset was the dominant negative; bottom call and hyperscaler win were the positive offsets that drove the stock higher on the day.</w:t>
      </w:r>
    </w:p>
    <w:p>
      <w:pPr>
        <w:pStyle w:val="ListBullet"/>
        <w:ind w:left="360" w:hanging="360"/>
      </w:pPr>
      <w:r>
        <w:rPr>
          <w:rFonts w:ascii="Calibri" w:hAnsi="Calibri"/>
          <w:b/>
          <w:color w:val="525866"/>
          <w:sz w:val="22"/>
        </w:rPr>
        <w:t xml:space="preserve">July 15, 2026 — Q3 FY2026 Earnings Date Announcement: </w:t>
      </w:r>
      <w:r>
        <w:rPr>
          <w:rFonts w:ascii="Calibri" w:hAnsi="Calibri"/>
          <w:color w:val="525866"/>
          <w:sz w:val="22"/>
        </w:rPr>
        <w:t>Qualcomm scheduled Q3 FY2026 earnings release and conference call for July 30, 2026. No incremental guidance or pre-announcement.</w:t>
      </w:r>
    </w:p>
    <w:p>
      <w:pPr>
        <w:pStyle w:val="ListBullet"/>
        <w:ind w:left="360" w:hanging="360"/>
      </w:pPr>
      <w:r>
        <w:rPr>
          <w:rFonts w:ascii="Calibri" w:hAnsi="Calibri"/>
          <w:b/>
          <w:color w:val="525866"/>
          <w:sz w:val="22"/>
        </w:rPr>
        <w:t xml:space="preserve">Ongoing — Apple QTL License Renewal: </w:t>
      </w:r>
      <w:r>
        <w:rPr>
          <w:rFonts w:ascii="Calibri" w:hAnsi="Calibri"/>
          <w:color w:val="525866"/>
          <w:sz w:val="22"/>
        </w:rPr>
        <w:t>The Apple QTL licensing agreement expires in March 2027. Management has expressed confidence in renewal and noted active conversations, but declined to comment on specific terms. Implication: A key overhang for FY2027 QTL revenue; any negative development would be a significant negative catalyst.</w:t>
      </w:r>
    </w:p>
    <w:p>
      <w:pPr>
        <w:pStyle w:val="ListBullet"/>
        <w:ind w:left="360" w:hanging="360"/>
      </w:pPr>
      <w:r>
        <w:rPr>
          <w:rFonts w:ascii="Calibri" w:hAnsi="Calibri"/>
          <w:b/>
          <w:color w:val="525866"/>
          <w:sz w:val="22"/>
        </w:rPr>
        <w:t xml:space="preserve">Ongoing — Memory Supply Constraints: </w:t>
      </w:r>
      <w:r>
        <w:rPr>
          <w:rFonts w:ascii="Calibri" w:hAnsi="Calibri"/>
          <w:color w:val="525866"/>
          <w:sz w:val="22"/>
        </w:rPr>
        <w:t>Industry-wide DRAM supply constraints (driven by AI data center demand pulling capacity from mobile DRAM) are the primary driver of the Q3 handset revenue trough. Intel (Q2 2026 earnings) confirmed memory is “the bottleneck” for AI infrastructure and that supply constraints “will persist for the foreseeable future.” TSMC (Q2 2026 earnings) noted consumer/price-sensitive segments are “being challenged due to rising component prices.” Implication: Validates QCOM’s memory-driven handset headwind narrative; also suggests the recovery timeline depends on DRAM supply normalization, which management is more optimistic about than consensus for FY2027.</w:t>
      </w:r>
    </w:p>
    <w:p>
      <w:r>
        <w:br w:type="page"/>
      </w:r>
    </w:p>
    <w:p>
      <w:pPr>
        <w:pStyle w:val="Heading1"/>
        <w:pBdr>
          <w:bottom w:val="single" w:sz="4" w:space="1" w:color="FB9120"/>
        </w:pBdr>
      </w:pPr>
      <w:r>
        <w:rPr>
          <w:rFonts w:ascii="Calibri" w:hAnsi="Calibri"/>
          <w:b/>
          <w:color w:val="3B4259"/>
          <w:sz w:val="40"/>
        </w:rPr>
        <w:t>7. Peer Commentaries &amp; Read-Throughs (Last 60 Days)</w:t>
      </w:r>
    </w:p>
    <w:p>
      <w:r>
        <w:rPr>
          <w:rFonts w:ascii="Calibri" w:hAnsi="Calibri"/>
          <w:b/>
          <w:color w:val="525866"/>
          <w:sz w:val="22"/>
        </w:rPr>
        <w:t xml:space="preserve">Key Takeaway: </w:t>
      </w:r>
      <w:r>
        <w:rPr>
          <w:rFonts w:ascii="Calibri" w:hAnsi="Calibri"/>
          <w:color w:val="525866"/>
          <w:sz w:val="22"/>
        </w:rPr>
        <w:t>Peer commentary is broadly constructive for QCOM’s Q3 print — Skyworks confirmed healthy mobile demand and a high-teens sequential ramp in Q4 driven by new product launches, ARM confirmed mobile unit weakness is concentrated at the low end while premium content grows, and Broadcom’s “insatiable” AI custom silicon demand validates QCOM’s data center pivot; the primary risk read-through is from Intel and TSMC, both of whom confirmed memory supply constraints will persist and consumer segments remain challenged.</w:t>
      </w:r>
    </w:p>
    <w:p>
      <w:r>
        <w:rPr>
          <w:rFonts w:ascii="Calibri" w:hAnsi="Calibri"/>
          <w:i/>
          <w:color w:val="525866"/>
          <w:sz w:val="22"/>
        </w:rPr>
        <w:t>Note: Only peer commentary from the last 60 days (since approximately May 28, 2026) that pertains to QCOM’s current reporting quarter (Q3 FY2026, ending June 30, 2026) or forward-looking commentary about the current period is included below. Prior-quarter result commentary from peers is excluded.</w:t>
      </w:r>
    </w:p>
    <w:p>
      <w:pPr>
        <w:pStyle w:val="Heading2"/>
      </w:pPr>
      <w:r>
        <w:rPr>
          <w:rFonts w:ascii="Calibri" w:hAnsi="Calibri"/>
          <w:b/>
          <w:color w:val="3B4259"/>
          <w:sz w:val="28"/>
        </w:rPr>
        <w:t>Skyworks Solutions (SWKS) — Q3 FY2026 Earnings (July 28, 2026)</w:t>
      </w:r>
    </w:p>
    <w:p>
      <w:r>
        <w:rPr>
          <w:rFonts w:ascii="Calibri" w:hAnsi="Calibri"/>
          <w:b/>
          <w:color w:val="525866"/>
          <w:sz w:val="22"/>
        </w:rPr>
        <w:t xml:space="preserve">Relevance: </w:t>
      </w:r>
      <w:r>
        <w:rPr>
          <w:rFonts w:ascii="Calibri" w:hAnsi="Calibri"/>
          <w:color w:val="525866"/>
          <w:sz w:val="22"/>
        </w:rPr>
        <w:t>Skyworks is a direct read-through on mobile RF demand and smartphone OEM build plans, particularly for Apple and Android flagship customers.</w:t>
      </w:r>
    </w:p>
    <w:p>
      <w:pPr>
        <w:pStyle w:val="ListBullet"/>
        <w:ind w:left="360" w:hanging="360"/>
      </w:pPr>
      <w:r>
        <w:rPr>
          <w:rFonts w:ascii="Calibri" w:hAnsi="Calibri"/>
          <w:b/>
          <w:color w:val="525866"/>
          <w:sz w:val="22"/>
        </w:rPr>
        <w:t xml:space="preserve">Mobile demand healthy in Q3; sequential ramp expected in Q4: </w:t>
      </w:r>
      <w:r>
        <w:rPr>
          <w:rFonts w:ascii="Calibri" w:hAnsi="Calibri"/>
          <w:color w:val="525866"/>
          <w:sz w:val="22"/>
        </w:rPr>
        <w:t>Skyworks reported that “Mobile performed well on healthy demand” in Q3 FY2026 (June quarter). For Q4 FY2026 (September quarter), the company expects Mobile to “grow sequentially in the high-teens range, supported by the seasonal ramp of new product launches at our largest customer.” This is a direct positive read-through for QCOM’s handset segment — if Skyworks is seeing healthy demand and a high-teens sequential ramp driven by new flagship launches, QCOM’s Q4 handset recovery call is supported.</w:t>
      </w:r>
    </w:p>
    <w:p>
      <w:pPr>
        <w:pStyle w:val="ListBullet"/>
        <w:ind w:left="360" w:hanging="360"/>
      </w:pPr>
      <w:r>
        <w:rPr>
          <w:rFonts w:ascii="Calibri" w:hAnsi="Calibri"/>
          <w:b/>
          <w:color w:val="525866"/>
          <w:sz w:val="22"/>
        </w:rPr>
        <w:t xml:space="preserve">Channel inventory lean; book-to-bill above 1: </w:t>
      </w:r>
      <w:r>
        <w:rPr>
          <w:rFonts w:ascii="Calibri" w:hAnsi="Calibri"/>
          <w:color w:val="525866"/>
          <w:sz w:val="22"/>
        </w:rPr>
        <w:t>Skyworks noted channel inventories are “lean” and its book-to-bill ratio is above one, with no immediate changes expected to go-forward consensus rates. This is consistent with QCOM’s narrative that Q3 represents the trough for China Android inventory drawdowns.</w:t>
      </w:r>
    </w:p>
    <w:p>
      <w:pPr>
        <w:pStyle w:val="ListBullet"/>
        <w:ind w:left="360" w:hanging="360"/>
      </w:pPr>
      <w:r>
        <w:rPr>
          <w:rFonts w:ascii="Calibri" w:hAnsi="Calibri"/>
          <w:b/>
          <w:color w:val="525866"/>
          <w:sz w:val="22"/>
        </w:rPr>
        <w:t xml:space="preserve">Android business dynamics: </w:t>
      </w:r>
      <w:r>
        <w:rPr>
          <w:rFonts w:ascii="Calibri" w:hAnsi="Calibri"/>
          <w:color w:val="525866"/>
          <w:sz w:val="22"/>
        </w:rPr>
        <w:t>Skyworks noted its Asia Android business is expected to decline in the current and next quarter, largely offset by strength from the U.S. Android customer. The strong Q3 Android performance was described as an anomaly not expected to repeat. This is a nuanced read-through — while overall mobile is healthy, the China Android segment specifically may remain soft, consistent with QCOM’s Q3 trough narrative.</w:t>
      </w:r>
    </w:p>
    <w:p>
      <w:pPr>
        <w:pStyle w:val="ListBullet"/>
        <w:ind w:left="360" w:hanging="360"/>
      </w:pPr>
      <w:r>
        <w:rPr>
          <w:rFonts w:ascii="Calibri" w:hAnsi="Calibri"/>
          <w:b/>
          <w:color w:val="525866"/>
          <w:sz w:val="22"/>
        </w:rPr>
        <w:t xml:space="preserve">RF content growth thesis intact: </w:t>
      </w:r>
      <w:r>
        <w:rPr>
          <w:rFonts w:ascii="Calibri" w:hAnsi="Calibri"/>
          <w:color w:val="525866"/>
          <w:sz w:val="22"/>
        </w:rPr>
        <w:t>Skyworks articulated a long-term RF content growth thesis driven by uplink complexity, satellite connectivity, and AI in phones requiring more transmit power and receive paths. This supports QCOM’s premium/high-tier handset content growth narrative even in a flat unit environment.</w:t>
      </w:r>
    </w:p>
    <w:p>
      <w:pPr>
        <w:pStyle w:val="Heading2"/>
      </w:pPr>
      <w:r>
        <w:rPr>
          <w:rFonts w:ascii="Calibri" w:hAnsi="Calibri"/>
          <w:b/>
          <w:color w:val="3B4259"/>
          <w:sz w:val="28"/>
        </w:rPr>
        <w:t>ARM Holdings (ARM) — Q4 FY2026 Earnings (May 6, 2026)</w:t>
      </w:r>
    </w:p>
    <w:p>
      <w:r>
        <w:rPr>
          <w:rFonts w:ascii="Calibri" w:hAnsi="Calibri"/>
          <w:b/>
          <w:color w:val="525866"/>
          <w:sz w:val="22"/>
        </w:rPr>
        <w:t xml:space="preserve">Relevance: </w:t>
      </w:r>
      <w:r>
        <w:rPr>
          <w:rFonts w:ascii="Calibri" w:hAnsi="Calibri"/>
          <w:color w:val="525866"/>
          <w:sz w:val="22"/>
        </w:rPr>
        <w:t>ARM is a read-through on mobile unit trends, premium smartphone content growth, and the broader AI compute demand environment that underpins QCOM’s diversification strategy.</w:t>
      </w:r>
    </w:p>
    <w:p>
      <w:pPr>
        <w:pStyle w:val="ListBullet"/>
        <w:ind w:left="360" w:hanging="360"/>
      </w:pPr>
      <w:r>
        <w:rPr>
          <w:rFonts w:ascii="Calibri" w:hAnsi="Calibri"/>
          <w:b/>
          <w:color w:val="525866"/>
          <w:sz w:val="22"/>
        </w:rPr>
        <w:t xml:space="preserve">Mobile unit growth turned negative; low end bears the impact: </w:t>
      </w:r>
      <w:r>
        <w:rPr>
          <w:rFonts w:ascii="Calibri" w:hAnsi="Calibri"/>
          <w:color w:val="525866"/>
          <w:sz w:val="22"/>
        </w:rPr>
        <w:t>ARM noted that “unit growth... actually flipped to negative for the mobile market in this last quarter” and expects “very flattish, maybe slightly negative numbers for the overall market,” with “the lower end of the market probably going to be where most of that impact is.” This is directly consistent with QCOM’s narrative that the handset weakness is concentrated in low-tier China Android (memory-constrained OEMs cutting build plans) while premium tier remains resilient.</w:t>
      </w:r>
    </w:p>
    <w:p>
      <w:pPr>
        <w:pStyle w:val="ListBullet"/>
        <w:ind w:left="360" w:hanging="360"/>
      </w:pPr>
      <w:r>
        <w:rPr>
          <w:rFonts w:ascii="Calibri" w:hAnsi="Calibri"/>
          <w:b/>
          <w:color w:val="525866"/>
          <w:sz w:val="22"/>
        </w:rPr>
        <w:t xml:space="preserve">Smartphone revenues growing despite unit weakness — premium content drives ASP: </w:t>
      </w:r>
      <w:r>
        <w:rPr>
          <w:rFonts w:ascii="Calibri" w:hAnsi="Calibri"/>
          <w:color w:val="525866"/>
          <w:sz w:val="22"/>
        </w:rPr>
        <w:t>Despite negative unit growth, ARM’s smartphone revenues continue to grow, “driven by higher royalty rates from increasing penetration of ARMv9 and compute subsystems into higher-end smartphones.” This validates QCOM’s content growth thesis — even in a flat-to-down unit market, premium Snapdragon content per device is expanding.</w:t>
      </w:r>
    </w:p>
    <w:p>
      <w:pPr>
        <w:pStyle w:val="ListBullet"/>
        <w:ind w:left="360" w:hanging="360"/>
      </w:pPr>
      <w:r>
        <w:rPr>
          <w:rFonts w:ascii="Calibri" w:hAnsi="Calibri"/>
          <w:b/>
          <w:color w:val="525866"/>
          <w:sz w:val="22"/>
        </w:rPr>
        <w:t xml:space="preserve">Automotive double-digit growth continues: </w:t>
      </w:r>
      <w:r>
        <w:rPr>
          <w:rFonts w:ascii="Calibri" w:hAnsi="Calibri"/>
          <w:color w:val="525866"/>
          <w:sz w:val="22"/>
        </w:rPr>
        <w:t>ARM noted automotive “continues to be growing strong” with double-digit growth rates and continued share gains. Positive read-through for QCOM’s automotive segment, which is guided for ~50% YoY growth in Q3.</w:t>
      </w:r>
    </w:p>
    <w:p>
      <w:pPr>
        <w:pStyle w:val="ListBullet"/>
        <w:ind w:left="360" w:hanging="360"/>
      </w:pPr>
      <w:r>
        <w:rPr>
          <w:rFonts w:ascii="Calibri" w:hAnsi="Calibri"/>
          <w:b/>
          <w:color w:val="525866"/>
          <w:sz w:val="22"/>
        </w:rPr>
        <w:t xml:space="preserve">Agentic AI driving CPU demand explosion: </w:t>
      </w:r>
      <w:r>
        <w:rPr>
          <w:rFonts w:ascii="Calibri" w:hAnsi="Calibri"/>
          <w:color w:val="525866"/>
          <w:sz w:val="22"/>
        </w:rPr>
        <w:t>ARM described an “explosion of CPU demand” driven by agentic AI, with data centers requiring “more than 4x today’s CPU capacity” by 2030. This validates QCOM’s data center CPU strategy (Dragonfly C1000) and the broader agentic AI upgrade cycle thesis across edge devices.</w:t>
      </w:r>
    </w:p>
    <w:p>
      <w:pPr>
        <w:pStyle w:val="Heading2"/>
      </w:pPr>
      <w:r>
        <w:rPr>
          <w:rFonts w:ascii="Calibri" w:hAnsi="Calibri"/>
          <w:b/>
          <w:color w:val="3B4259"/>
          <w:sz w:val="28"/>
        </w:rPr>
        <w:t>Broadcom (AVGO) — Q2 FY2026 Earnings (June 3, 2026)</w:t>
      </w:r>
    </w:p>
    <w:p>
      <w:r>
        <w:rPr>
          <w:rFonts w:ascii="Calibri" w:hAnsi="Calibri"/>
          <w:b/>
          <w:color w:val="525866"/>
          <w:sz w:val="22"/>
        </w:rPr>
        <w:t xml:space="preserve">Relevance: </w:t>
      </w:r>
      <w:r>
        <w:rPr>
          <w:rFonts w:ascii="Calibri" w:hAnsi="Calibri"/>
          <w:color w:val="525866"/>
          <w:sz w:val="22"/>
        </w:rPr>
        <w:t>Broadcom is the largest custom silicon player and a direct competitive read-through for QCOM’s data center ASIC strategy. Broadcom’s wireless commentary also provides a read-through on mobile RF market conditions.</w:t>
      </w:r>
    </w:p>
    <w:p>
      <w:pPr>
        <w:pStyle w:val="ListBullet"/>
        <w:ind w:left="360" w:hanging="360"/>
      </w:pPr>
      <w:r>
        <w:rPr>
          <w:rFonts w:ascii="Calibri" w:hAnsi="Calibri"/>
          <w:b/>
          <w:color w:val="525866"/>
          <w:sz w:val="22"/>
        </w:rPr>
        <w:t xml:space="preserve">AI custom silicon demand “simply insatiable” — validates QCOM’s data center pivot: </w:t>
      </w:r>
      <w:r>
        <w:rPr>
          <w:rFonts w:ascii="Calibri" w:hAnsi="Calibri"/>
          <w:color w:val="525866"/>
          <w:sz w:val="22"/>
        </w:rPr>
        <w:t>Broadcom reported record AI semiconductor revenue of $10.8B in Q2 (+143% YoY) and guided Q3 AI semiconductor revenue to $16B (+200% YoY). Bookings exceeded $30B against $10.8B shipped. FY2026 AI semiconductor revenue expected at $56B; FY2027 guided to exceed $100B. This validates the structural demand environment that QCOM is targeting with its Dragonfly platform and custom silicon engagements.</w:t>
      </w:r>
    </w:p>
    <w:p>
      <w:pPr>
        <w:pStyle w:val="ListBullet"/>
        <w:ind w:left="360" w:hanging="360"/>
      </w:pPr>
      <w:r>
        <w:rPr>
          <w:rFonts w:ascii="Calibri" w:hAnsi="Calibri"/>
          <w:b/>
          <w:color w:val="525866"/>
          <w:sz w:val="22"/>
        </w:rPr>
        <w:t xml:space="preserve">Seasonal decline in wireless — modest negative read-through: </w:t>
      </w:r>
      <w:r>
        <w:rPr>
          <w:rFonts w:ascii="Calibri" w:hAnsi="Calibri"/>
          <w:color w:val="525866"/>
          <w:sz w:val="22"/>
        </w:rPr>
        <w:t>Broadcom noted non-AI semiconductor revenue was “partially offset by a seasonal decline in wireless.” This is a modest negative read-through for QCOM’s handset segment, consistent with the Q3 trough narrative.</w:t>
      </w:r>
    </w:p>
    <w:p>
      <w:pPr>
        <w:pStyle w:val="ListBullet"/>
        <w:ind w:left="360" w:hanging="360"/>
      </w:pPr>
      <w:r>
        <w:rPr>
          <w:rFonts w:ascii="Calibri" w:hAnsi="Calibri"/>
          <w:b/>
          <w:color w:val="525866"/>
          <w:sz w:val="22"/>
        </w:rPr>
        <w:t xml:space="preserve">Custom silicon competitive landscape: </w:t>
      </w:r>
      <w:r>
        <w:rPr>
          <w:rFonts w:ascii="Calibri" w:hAnsi="Calibri"/>
          <w:color w:val="525866"/>
          <w:sz w:val="22"/>
        </w:rPr>
        <w:t>Broadcom highlighted its “significant IP and execution leadership in XPUs” and detailed multi-year, multi-generation agreements with Google, Anthropic, OpenAI, and Meta. QCOM has identified Broadcom as its primary custom silicon competitor; Broadcom’s dominance in the space underscores the execution challenge QCOM faces in capturing meaningful share.</w:t>
      </w:r>
    </w:p>
    <w:p>
      <w:pPr>
        <w:pStyle w:val="ListBullet"/>
        <w:ind w:left="360" w:hanging="360"/>
      </w:pPr>
      <w:r>
        <w:rPr>
          <w:rFonts w:ascii="Calibri" w:hAnsi="Calibri"/>
          <w:b/>
          <w:color w:val="525866"/>
          <w:sz w:val="22"/>
        </w:rPr>
        <w:t xml:space="preserve">Non-AI semiconductor recovery on track: </w:t>
      </w:r>
      <w:r>
        <w:rPr>
          <w:rFonts w:ascii="Calibri" w:hAnsi="Calibri"/>
          <w:color w:val="525866"/>
          <w:sz w:val="22"/>
        </w:rPr>
        <w:t>Broadcom’s non-AI semiconductor revenue of $4.2B was up 6% YoY with bookings exceeding $6B, signaling “a path towards a full cyclical recovery.” This is a broadly positive read-through for the semiconductor cycle, supporting QCOM’s Q4 handset recovery narrative.</w:t>
      </w:r>
    </w:p>
    <w:p>
      <w:pPr>
        <w:pStyle w:val="Heading2"/>
      </w:pPr>
      <w:r>
        <w:rPr>
          <w:rFonts w:ascii="Calibri" w:hAnsi="Calibri"/>
          <w:b/>
          <w:color w:val="3B4259"/>
          <w:sz w:val="28"/>
        </w:rPr>
        <w:t>Marvell Technology (MRVL) — Q1 FY2027 Earnings (May 27, 2026)</w:t>
      </w:r>
    </w:p>
    <w:p>
      <w:r>
        <w:rPr>
          <w:rFonts w:ascii="Calibri" w:hAnsi="Calibri"/>
          <w:b/>
          <w:color w:val="525866"/>
          <w:sz w:val="22"/>
        </w:rPr>
        <w:t xml:space="preserve">Relevance: </w:t>
      </w:r>
      <w:r>
        <w:rPr>
          <w:rFonts w:ascii="Calibri" w:hAnsi="Calibri"/>
          <w:color w:val="525866"/>
          <w:sz w:val="22"/>
        </w:rPr>
        <w:t>Marvell is the second-largest custom silicon player and a read-through on data center interconnect, custom ASIC demand, and the competitive landscape for QCOM’s data center strategy.</w:t>
      </w:r>
    </w:p>
    <w:p>
      <w:pPr>
        <w:pStyle w:val="ListBullet"/>
        <w:ind w:left="360" w:hanging="360"/>
      </w:pPr>
      <w:r>
        <w:rPr>
          <w:rFonts w:ascii="Calibri" w:hAnsi="Calibri"/>
          <w:b/>
          <w:color w:val="525866"/>
          <w:sz w:val="22"/>
        </w:rPr>
        <w:t xml:space="preserve">Custom silicon demand unprecedented; FY2028 custom revenue to more than double: </w:t>
      </w:r>
      <w:r>
        <w:rPr>
          <w:rFonts w:ascii="Calibri" w:hAnsi="Calibri"/>
          <w:color w:val="525866"/>
          <w:sz w:val="22"/>
        </w:rPr>
        <w:t>Marvell reported “strong demand and exceptional bookings across our entire data center portfolio” and raised its FY2028 custom revenue outlook to “more than double year-over-year.” The company noted “the level of custom engagement with key customers remains unprecedented.” This validates the structural demand for custom silicon that QCOM is targeting, though it also highlights the competitive intensity from established players.</w:t>
      </w:r>
    </w:p>
    <w:p>
      <w:pPr>
        <w:pStyle w:val="ListBullet"/>
        <w:ind w:left="360" w:hanging="360"/>
      </w:pPr>
      <w:r>
        <w:rPr>
          <w:rFonts w:ascii="Calibri" w:hAnsi="Calibri"/>
          <w:b/>
          <w:color w:val="525866"/>
          <w:sz w:val="22"/>
        </w:rPr>
        <w:t xml:space="preserve">Memory concerns driving CXL adoption: </w:t>
      </w:r>
      <w:r>
        <w:rPr>
          <w:rFonts w:ascii="Calibri" w:hAnsi="Calibri"/>
          <w:color w:val="525866"/>
          <w:sz w:val="22"/>
        </w:rPr>
        <w:t>Marvell noted that “concerns around the memory cycle are driving additional adoption of CXL-based design.” This is a direct read-through for QCOM’s narrative that memory constraints are a structural issue driving architectural changes — and that QCOM’s High Bandwidth Compute (HBC) technology addresses this bottleneck.</w:t>
      </w:r>
    </w:p>
    <w:p>
      <w:pPr>
        <w:pStyle w:val="ListBullet"/>
        <w:ind w:left="360" w:hanging="360"/>
      </w:pPr>
      <w:r>
        <w:rPr>
          <w:rFonts w:ascii="Calibri" w:hAnsi="Calibri"/>
          <w:b/>
          <w:color w:val="525866"/>
          <w:sz w:val="22"/>
        </w:rPr>
        <w:t xml:space="preserve">Agentic AI to “supercharge” networking and XPU demand: </w:t>
      </w:r>
      <w:r>
        <w:rPr>
          <w:rFonts w:ascii="Calibri" w:hAnsi="Calibri"/>
          <w:color w:val="525866"/>
          <w:sz w:val="22"/>
        </w:rPr>
        <w:t>Marvell expects “the emergence of agentic AI to further supercharge demand for our scale out, scale up in XPU attach businesses.” This is consistent with QCOM’s framing of agentic AI as a structural upgrade cycle catalyst across all device categories.</w:t>
      </w:r>
    </w:p>
    <w:p>
      <w:pPr>
        <w:pStyle w:val="Heading2"/>
      </w:pPr>
      <w:r>
        <w:rPr>
          <w:rFonts w:ascii="Calibri" w:hAnsi="Calibri"/>
          <w:b/>
          <w:color w:val="3B4259"/>
          <w:sz w:val="28"/>
        </w:rPr>
        <w:t>TSMC (TSM) — Q2 2026 Earnings (July 16, 2026)</w:t>
      </w:r>
    </w:p>
    <w:p>
      <w:r>
        <w:rPr>
          <w:rFonts w:ascii="Calibri" w:hAnsi="Calibri"/>
          <w:b/>
          <w:color w:val="525866"/>
          <w:sz w:val="22"/>
        </w:rPr>
        <w:t xml:space="preserve">Relevance: </w:t>
      </w:r>
      <w:r>
        <w:rPr>
          <w:rFonts w:ascii="Calibri" w:hAnsi="Calibri"/>
          <w:color w:val="525866"/>
          <w:sz w:val="22"/>
        </w:rPr>
        <w:t>TSMC is QCOM’s primary foundry partner and provides the most authoritative read-through on semiconductor supply/demand dynamics, advanced node capacity, and end-market conditions.</w:t>
      </w:r>
    </w:p>
    <w:p>
      <w:pPr>
        <w:pStyle w:val="ListBullet"/>
        <w:ind w:left="360" w:hanging="360"/>
      </w:pPr>
      <w:r>
        <w:rPr>
          <w:rFonts w:ascii="Calibri" w:hAnsi="Calibri"/>
          <w:b/>
          <w:color w:val="525866"/>
          <w:sz w:val="22"/>
        </w:rPr>
        <w:t xml:space="preserve">Consumer/price-sensitive segments challenged by rising component prices: </w:t>
      </w:r>
      <w:r>
        <w:rPr>
          <w:rFonts w:ascii="Calibri" w:hAnsi="Calibri"/>
          <w:color w:val="525866"/>
          <w:sz w:val="22"/>
        </w:rPr>
        <w:t>TSMC noted that “consumer and price sensitive end market segment are being challenged due to the impact of rising component prices and macro economic uncertainties.” This directly validates QCOM’s handset headwind narrative — rising memory prices are suppressing consumer device demand and OEM build plans.</w:t>
      </w:r>
    </w:p>
    <w:p>
      <w:pPr>
        <w:pStyle w:val="ListBullet"/>
        <w:ind w:left="360" w:hanging="360"/>
      </w:pPr>
      <w:r>
        <w:rPr>
          <w:rFonts w:ascii="Calibri" w:hAnsi="Calibri"/>
          <w:b/>
          <w:color w:val="525866"/>
          <w:sz w:val="22"/>
        </w:rPr>
        <w:t xml:space="preserve">AI demand “extremely robust”; supply-demand gap “very big”: </w:t>
      </w:r>
      <w:r>
        <w:rPr>
          <w:rFonts w:ascii="Calibri" w:hAnsi="Calibri"/>
          <w:color w:val="525866"/>
          <w:sz w:val="22"/>
        </w:rPr>
        <w:t>TSMC stated “AI related demand continues to be extremely robust” and that the supply-demand gap for leading-edge capacity is “really big. Bigger than us.” This validates the structural AI compute demand environment that underpins QCOM’s data center strategy.</w:t>
      </w:r>
    </w:p>
    <w:p>
      <w:pPr>
        <w:pStyle w:val="ListBullet"/>
        <w:ind w:left="360" w:hanging="360"/>
      </w:pPr>
      <w:r>
        <w:rPr>
          <w:rFonts w:ascii="Calibri" w:hAnsi="Calibri"/>
          <w:b/>
          <w:color w:val="525866"/>
          <w:sz w:val="22"/>
        </w:rPr>
        <w:t xml:space="preserve">Strong smartphone interest in A14 node (2027–2028 volume): </w:t>
      </w:r>
      <w:r>
        <w:rPr>
          <w:rFonts w:ascii="Calibri" w:hAnsi="Calibri"/>
          <w:color w:val="525866"/>
          <w:sz w:val="22"/>
        </w:rPr>
        <w:t>TSMC noted “a strong level of customer interest and engagement from both smartphone and HPC AI applications” for the A14 technology (pre-production 2027, volume 2028). This is a positive long-term read-through for QCOM’s next-generation Snapdragon roadmap.</w:t>
      </w:r>
    </w:p>
    <w:p>
      <w:pPr>
        <w:pStyle w:val="ListBullet"/>
        <w:ind w:left="360" w:hanging="360"/>
      </w:pPr>
      <w:r>
        <w:rPr>
          <w:rFonts w:ascii="Calibri" w:hAnsi="Calibri"/>
          <w:b/>
          <w:color w:val="525866"/>
          <w:sz w:val="22"/>
        </w:rPr>
        <w:t xml:space="preserve">Full-year 2026 revenue growth raised to slightly above 40% YoY: </w:t>
      </w:r>
      <w:r>
        <w:rPr>
          <w:rFonts w:ascii="Calibri" w:hAnsi="Calibri"/>
          <w:color w:val="525866"/>
          <w:sz w:val="22"/>
        </w:rPr>
        <w:t>TSMC raised its full-year 2026 revenue growth outlook to “slightly above 40% year over year,” driven by continued strong structural demand including “the newly emerging Agentic AI market.” This is a broadly positive macro read-through for the semiconductor sector.</w:t>
      </w:r>
    </w:p>
    <w:p>
      <w:pPr>
        <w:pStyle w:val="Heading2"/>
      </w:pPr>
      <w:r>
        <w:rPr>
          <w:rFonts w:ascii="Calibri" w:hAnsi="Calibri"/>
          <w:b/>
          <w:color w:val="3B4259"/>
          <w:sz w:val="28"/>
        </w:rPr>
        <w:t>Intel (INTC) — Q2 2026 Earnings (July 23, 2026)</w:t>
      </w:r>
    </w:p>
    <w:p>
      <w:r>
        <w:rPr>
          <w:rFonts w:ascii="Calibri" w:hAnsi="Calibri"/>
          <w:b/>
          <w:color w:val="525866"/>
          <w:sz w:val="22"/>
        </w:rPr>
        <w:t xml:space="preserve">Relevance: </w:t>
      </w:r>
      <w:r>
        <w:rPr>
          <w:rFonts w:ascii="Calibri" w:hAnsi="Calibri"/>
          <w:color w:val="525866"/>
          <w:sz w:val="22"/>
        </w:rPr>
        <w:t>Intel provides a read-through on industry-wide supply constraints, PC/client device demand, and the memory bottleneck that is directly impacting QCOM’s handset segment.</w:t>
      </w:r>
    </w:p>
    <w:p>
      <w:pPr>
        <w:pStyle w:val="ListBullet"/>
        <w:ind w:left="360" w:hanging="360"/>
      </w:pPr>
      <w:r>
        <w:rPr>
          <w:rFonts w:ascii="Calibri" w:hAnsi="Calibri"/>
          <w:b/>
          <w:color w:val="525866"/>
          <w:sz w:val="22"/>
        </w:rPr>
        <w:t xml:space="preserve">Industry facing “one of the most severe supply constraints in its history”: </w:t>
      </w:r>
      <w:r>
        <w:rPr>
          <w:rFonts w:ascii="Calibri" w:hAnsi="Calibri"/>
          <w:color w:val="525866"/>
          <w:sz w:val="22"/>
        </w:rPr>
        <w:t>Intel CEO stated the “industry is facing one of the most severe supply constraints in its history across leading edge logic, silicon wafers, memory, and substrates. These shortages will persist for the foreseeable future.” This is a direct validation of QCOM’s memory-driven handset headwind and suggests the recovery timeline may be more extended than management’s Q4 bottom call implies.</w:t>
      </w:r>
    </w:p>
    <w:p>
      <w:pPr>
        <w:pStyle w:val="ListBullet"/>
        <w:ind w:left="360" w:hanging="360"/>
      </w:pPr>
      <w:r>
        <w:rPr>
          <w:rFonts w:ascii="Calibri" w:hAnsi="Calibri"/>
          <w:b/>
          <w:color w:val="525866"/>
          <w:sz w:val="22"/>
        </w:rPr>
        <w:t xml:space="preserve">PC consumption expected to be subseasonal in H2 2026, down low double digits: </w:t>
      </w:r>
      <w:r>
        <w:rPr>
          <w:rFonts w:ascii="Calibri" w:hAnsi="Calibri"/>
          <w:color w:val="525866"/>
          <w:sz w:val="22"/>
        </w:rPr>
        <w:t>Intel guided PC consumption to be “subseasonal in the second half of the year and down low double digits percent for all of 2026, impacted by rising memory prices and constraints.” While QCOM is not a PC CPU vendor, this confirms that memory-driven demand destruction is broad-based across consumer device categories.</w:t>
      </w:r>
    </w:p>
    <w:p>
      <w:pPr>
        <w:pStyle w:val="ListBullet"/>
        <w:ind w:left="360" w:hanging="360"/>
      </w:pPr>
      <w:r>
        <w:rPr>
          <w:rFonts w:ascii="Calibri" w:hAnsi="Calibri"/>
          <w:b/>
          <w:color w:val="525866"/>
          <w:sz w:val="22"/>
        </w:rPr>
        <w:t xml:space="preserve">Memory “becomes the bottleneck” for AI infrastructure: </w:t>
      </w:r>
      <w:r>
        <w:rPr>
          <w:rFonts w:ascii="Calibri" w:hAnsi="Calibri"/>
          <w:color w:val="525866"/>
          <w:sz w:val="22"/>
        </w:rPr>
        <w:t>Intel explicitly stated that “memory becomes the bottleneck” for AI infrastructure. This is consistent with QCOM’s HBC (High Bandwidth Compute) technology thesis — addressing the memory bottleneck is the central value proposition of QCOM’s data center AI accelerator strategy.</w:t>
      </w:r>
    </w:p>
    <w:p>
      <w:pPr>
        <w:pStyle w:val="ListBullet"/>
        <w:ind w:left="360" w:hanging="360"/>
      </w:pPr>
      <w:r>
        <w:rPr>
          <w:rFonts w:ascii="Calibri" w:hAnsi="Calibri"/>
          <w:b/>
          <w:color w:val="525866"/>
          <w:sz w:val="22"/>
        </w:rPr>
        <w:t xml:space="preserve">CPU inventory lean; build expected in Q3/Q4: </w:t>
      </w:r>
      <w:r>
        <w:rPr>
          <w:rFonts w:ascii="Calibri" w:hAnsi="Calibri"/>
          <w:color w:val="525866"/>
          <w:sz w:val="22"/>
        </w:rPr>
        <w:t>Intel noted customers have been “living relatively tight with inventory on CPUs,” suggesting a likely inventory build in Q3 and Q4. This is a modest positive read-through for the broader semiconductor cycle recovery.</w:t>
      </w:r>
    </w:p>
    <w:p>
      <w:pPr>
        <w:pStyle w:val="Heading2"/>
      </w:pPr>
      <w:r>
        <w:rPr>
          <w:rFonts w:ascii="Calibri" w:hAnsi="Calibri"/>
          <w:b/>
          <w:color w:val="3B4259"/>
          <w:sz w:val="28"/>
        </w:rPr>
        <w:t>Apple (AAPL) — Q2 FY2026 Earnings (April 30, 2026)</w:t>
      </w:r>
    </w:p>
    <w:p>
      <w:r>
        <w:rPr>
          <w:rFonts w:ascii="Calibri" w:hAnsi="Calibri"/>
          <w:b/>
          <w:color w:val="525866"/>
          <w:sz w:val="22"/>
        </w:rPr>
        <w:t xml:space="preserve">Relevance: </w:t>
      </w:r>
      <w:r>
        <w:rPr>
          <w:rFonts w:ascii="Calibri" w:hAnsi="Calibri"/>
          <w:color w:val="525866"/>
          <w:sz w:val="22"/>
        </w:rPr>
        <w:t>Apple is QCOM’s largest QTL licensee and a key handset market indicator. Apple’s commentary on memory costs and iPhone demand is directly relevant to QCOM’s Q3 handset and QTL outlook.</w:t>
      </w:r>
    </w:p>
    <w:p>
      <w:pPr>
        <w:pStyle w:val="ListBullet"/>
        <w:ind w:left="360" w:hanging="360"/>
      </w:pPr>
      <w:r>
        <w:rPr>
          <w:rFonts w:ascii="Calibri" w:hAnsi="Calibri"/>
          <w:b/>
          <w:color w:val="525866"/>
          <w:sz w:val="22"/>
        </w:rPr>
        <w:t xml:space="preserve">iPhone demand “extraordinary”; March quarter record despite supply constraints: </w:t>
      </w:r>
      <w:r>
        <w:rPr>
          <w:rFonts w:ascii="Calibri" w:hAnsi="Calibri"/>
          <w:color w:val="525866"/>
          <w:sz w:val="22"/>
        </w:rPr>
        <w:t>Apple reported iPhone revenue of $57B in the March quarter (+22% YoY), a March quarter record, with the iPhone 17 family described as “the most popular lineup in our history.” Strong iPhone demand is a positive read-through for QCOM’s QTL licensing revenue, which is tied to Apple handset activations.</w:t>
      </w:r>
    </w:p>
    <w:p>
      <w:pPr>
        <w:pStyle w:val="ListBullet"/>
        <w:ind w:left="360" w:hanging="360"/>
      </w:pPr>
      <w:r>
        <w:rPr>
          <w:rFonts w:ascii="Calibri" w:hAnsi="Calibri"/>
          <w:b/>
          <w:color w:val="525866"/>
          <w:sz w:val="22"/>
        </w:rPr>
        <w:t xml:space="preserve">Memory costs “significantly higher” in June quarter; increasing impact beyond June: </w:t>
      </w:r>
      <w:r>
        <w:rPr>
          <w:rFonts w:ascii="Calibri" w:hAnsi="Calibri"/>
          <w:color w:val="525866"/>
          <w:sz w:val="22"/>
        </w:rPr>
        <w:t>Apple guided for “significantly higher memory costs” in the June quarter and stated that “beyond the June quarter, we believe memory costs will drive an increasing impact on our business.” This is a direct validation of QCOM’s memory-driven headwind narrative and suggests the constraint is not yet resolved.</w:t>
      </w:r>
    </w:p>
    <w:p>
      <w:pPr>
        <w:pStyle w:val="ListBullet"/>
        <w:ind w:left="360" w:hanging="360"/>
      </w:pPr>
      <w:r>
        <w:rPr>
          <w:rFonts w:ascii="Calibri" w:hAnsi="Calibri"/>
          <w:b/>
          <w:color w:val="525866"/>
          <w:sz w:val="22"/>
        </w:rPr>
        <w:t xml:space="preserve">Apple’s primary constraint is advanced node SoC availability, not memory: </w:t>
      </w:r>
      <w:r>
        <w:rPr>
          <w:rFonts w:ascii="Calibri" w:hAnsi="Calibri"/>
          <w:color w:val="525866"/>
          <w:sz w:val="22"/>
        </w:rPr>
        <w:t>Apple clarified that its primary supply constraint is “the availability of the advanced nodes our SoCs are produced on, not memory.” This is a nuanced distinction — Apple’s own supply constraint is foundry capacity, while the Android OEM constraint (which drives QCOM’s handset headwind) is DRAM availability.</w:t>
      </w:r>
    </w:p>
    <w:p>
      <w:pPr>
        <w:pStyle w:val="ListBullet"/>
        <w:ind w:left="360" w:hanging="360"/>
      </w:pPr>
      <w:r>
        <w:rPr>
          <w:rFonts w:ascii="Calibri" w:hAnsi="Calibri"/>
          <w:b/>
          <w:color w:val="525866"/>
          <w:sz w:val="22"/>
        </w:rPr>
        <w:t xml:space="preserve">June quarter revenue guided to grow 14%–17% YoY: </w:t>
      </w:r>
      <w:r>
        <w:rPr>
          <w:rFonts w:ascii="Calibri" w:hAnsi="Calibri"/>
          <w:color w:val="525866"/>
          <w:sz w:val="22"/>
        </w:rPr>
        <w:t>Apple guided June quarter total company revenue to grow 14%–17% YoY. Strong Apple revenue growth is a positive read-through for QCOM’s QTL segment, which benefits from Apple handset unit volumes and ASPs.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last earnings are 10b5-1 planned sales — no discretionary selling and no open-market purchases — which is a neutral signal; the consistent, small-lot monthly cadence of CFO sales is routine plan execution and does not signal concern about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Palkhiwala, Akash J.</w:t>
            </w:r>
          </w:p>
        </w:tc>
        <w:tc>
          <w:tcPr>
            <w:tcW w:type="dxa" w:w="1440"/>
          </w:tcPr>
          <w:p>
            <w:r>
              <w:rPr>
                <w:rFonts w:ascii="Calibri" w:hAnsi="Calibri"/>
                <w:sz w:val="22"/>
              </w:rPr>
              <w:t>EVP, CFO &amp; COO</w:t>
            </w:r>
          </w:p>
        </w:tc>
        <w:tc>
          <w:tcPr>
            <w:tcW w:type="dxa" w:w="1440"/>
          </w:tcPr>
          <w:p>
            <w:r>
              <w:rPr>
                <w:rFonts w:ascii="Calibri" w:hAnsi="Calibri"/>
                <w:sz w:val="22"/>
              </w:rPr>
              <w:t>10b5-1 Planned Sale</w:t>
            </w:r>
          </w:p>
        </w:tc>
        <w:tc>
          <w:tcPr>
            <w:tcW w:type="dxa" w:w="1440"/>
          </w:tcPr>
          <w:p>
            <w:r>
              <w:rPr>
                <w:rFonts w:ascii="Calibri" w:hAnsi="Calibri"/>
                <w:sz w:val="22"/>
              </w:rPr>
              <w:t>2,500</w:t>
            </w:r>
          </w:p>
        </w:tc>
        <w:tc>
          <w:tcPr>
            <w:tcW w:type="dxa" w:w="1440"/>
          </w:tcPr>
          <w:p>
            <w:r>
              <w:rPr>
                <w:rFonts w:ascii="Calibri" w:hAnsi="Calibri"/>
                <w:sz w:val="22"/>
              </w:rPr>
              <w:t>July 14, 2026</w:t>
            </w:r>
          </w:p>
        </w:tc>
        <w:tc>
          <w:tcPr>
            <w:tcW w:type="dxa" w:w="1440"/>
          </w:tcPr>
          <w:p>
            <w:r>
              <w:rPr>
                <w:rFonts w:ascii="Calibri" w:hAnsi="Calibri"/>
                <w:sz w:val="22"/>
              </w:rPr>
              <w:t>Routine monthly 10b5-1 plan execution; third consecutive monthly sale of identical lot size</w:t>
            </w:r>
          </w:p>
        </w:tc>
      </w:tr>
      <w:tr>
        <w:tc>
          <w:tcPr>
            <w:tcW w:type="dxa" w:w="1440"/>
          </w:tcPr>
          <w:p>
            <w:r>
              <w:rPr>
                <w:rFonts w:ascii="Calibri" w:hAnsi="Calibri"/>
                <w:sz w:val="22"/>
              </w:rPr>
              <w:t>Palkhiwala, Akash J.</w:t>
            </w:r>
          </w:p>
        </w:tc>
        <w:tc>
          <w:tcPr>
            <w:tcW w:type="dxa" w:w="1440"/>
          </w:tcPr>
          <w:p>
            <w:r>
              <w:rPr>
                <w:rFonts w:ascii="Calibri" w:hAnsi="Calibri"/>
                <w:sz w:val="22"/>
              </w:rPr>
              <w:t>EVP, CFO &amp; COO</w:t>
            </w:r>
          </w:p>
        </w:tc>
        <w:tc>
          <w:tcPr>
            <w:tcW w:type="dxa" w:w="1440"/>
          </w:tcPr>
          <w:p>
            <w:r>
              <w:rPr>
                <w:rFonts w:ascii="Calibri" w:hAnsi="Calibri"/>
                <w:sz w:val="22"/>
              </w:rPr>
              <w:t>10b5-1 Planned Sale</w:t>
            </w:r>
          </w:p>
        </w:tc>
        <w:tc>
          <w:tcPr>
            <w:tcW w:type="dxa" w:w="1440"/>
          </w:tcPr>
          <w:p>
            <w:r>
              <w:rPr>
                <w:rFonts w:ascii="Calibri" w:hAnsi="Calibri"/>
                <w:sz w:val="22"/>
              </w:rPr>
              <w:t>2,500</w:t>
            </w:r>
          </w:p>
        </w:tc>
        <w:tc>
          <w:tcPr>
            <w:tcW w:type="dxa" w:w="1440"/>
          </w:tcPr>
          <w:p>
            <w:r>
              <w:rPr>
                <w:rFonts w:ascii="Calibri" w:hAnsi="Calibri"/>
                <w:sz w:val="22"/>
              </w:rPr>
              <w:t>June 11, 2026</w:t>
            </w:r>
          </w:p>
        </w:tc>
        <w:tc>
          <w:tcPr>
            <w:tcW w:type="dxa" w:w="1440"/>
          </w:tcPr>
          <w:p>
            <w:r>
              <w:rPr>
                <w:rFonts w:ascii="Calibri" w:hAnsi="Calibri"/>
                <w:sz w:val="22"/>
              </w:rPr>
              <w:t>Routine monthly 10b5-1 plan execution</w:t>
            </w:r>
          </w:p>
        </w:tc>
      </w:tr>
      <w:tr>
        <w:tc>
          <w:tcPr>
            <w:tcW w:type="dxa" w:w="1440"/>
          </w:tcPr>
          <w:p>
            <w:r>
              <w:rPr>
                <w:rFonts w:ascii="Calibri" w:hAnsi="Calibri"/>
                <w:sz w:val="22"/>
              </w:rPr>
              <w:t>Palkhiwala, Akash J.</w:t>
            </w:r>
          </w:p>
        </w:tc>
        <w:tc>
          <w:tcPr>
            <w:tcW w:type="dxa" w:w="1440"/>
          </w:tcPr>
          <w:p>
            <w:r>
              <w:rPr>
                <w:rFonts w:ascii="Calibri" w:hAnsi="Calibri"/>
                <w:sz w:val="22"/>
              </w:rPr>
              <w:t>EVP, CFO &amp; COO</w:t>
            </w:r>
          </w:p>
        </w:tc>
        <w:tc>
          <w:tcPr>
            <w:tcW w:type="dxa" w:w="1440"/>
          </w:tcPr>
          <w:p>
            <w:r>
              <w:rPr>
                <w:rFonts w:ascii="Calibri" w:hAnsi="Calibri"/>
                <w:sz w:val="22"/>
              </w:rPr>
              <w:t>10b5-1 Planned Sale</w:t>
            </w:r>
          </w:p>
        </w:tc>
        <w:tc>
          <w:tcPr>
            <w:tcW w:type="dxa" w:w="1440"/>
          </w:tcPr>
          <w:p>
            <w:r>
              <w:rPr>
                <w:rFonts w:ascii="Calibri" w:hAnsi="Calibri"/>
                <w:sz w:val="22"/>
              </w:rPr>
              <w:t>2,500</w:t>
            </w:r>
          </w:p>
        </w:tc>
        <w:tc>
          <w:tcPr>
            <w:tcW w:type="dxa" w:w="1440"/>
          </w:tcPr>
          <w:p>
            <w:r>
              <w:rPr>
                <w:rFonts w:ascii="Calibri" w:hAnsi="Calibri"/>
                <w:sz w:val="22"/>
              </w:rPr>
              <w:t>May 12, 2026</w:t>
            </w:r>
          </w:p>
        </w:tc>
        <w:tc>
          <w:tcPr>
            <w:tcW w:type="dxa" w:w="1440"/>
          </w:tcPr>
          <w:p>
            <w:r>
              <w:rPr>
                <w:rFonts w:ascii="Calibri" w:hAnsi="Calibri"/>
                <w:sz w:val="22"/>
              </w:rPr>
              <w:t>Routine monthly 10b5-1 plan execution</w:t>
            </w:r>
          </w:p>
        </w:tc>
      </w:tr>
      <w:tr>
        <w:tc>
          <w:tcPr>
            <w:tcW w:type="dxa" w:w="1440"/>
          </w:tcPr>
          <w:p>
            <w:r>
              <w:rPr>
                <w:rFonts w:ascii="Calibri" w:hAnsi="Calibri"/>
                <w:sz w:val="22"/>
              </w:rPr>
              <w:t>Amon, Cristiano R.</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10,000</w:t>
            </w:r>
          </w:p>
        </w:tc>
        <w:tc>
          <w:tcPr>
            <w:tcW w:type="dxa" w:w="1440"/>
          </w:tcPr>
          <w:p>
            <w:r>
              <w:rPr>
                <w:rFonts w:ascii="Calibri" w:hAnsi="Calibri"/>
                <w:sz w:val="22"/>
              </w:rPr>
              <w:t>May 5, 2026</w:t>
            </w:r>
          </w:p>
        </w:tc>
        <w:tc>
          <w:tcPr>
            <w:tcW w:type="dxa" w:w="1440"/>
          </w:tcPr>
          <w:p>
            <w:r>
              <w:rPr>
                <w:rFonts w:ascii="Calibri" w:hAnsi="Calibri"/>
                <w:sz w:val="22"/>
              </w:rPr>
              <w:t>Indirect (by Trust); 10b5-1 plan; sold day after Q2 earnings — pre-planned, not discretionary</w:t>
            </w:r>
          </w:p>
        </w:tc>
      </w:tr>
      <w:tr>
        <w:tc>
          <w:tcPr>
            <w:tcW w:type="dxa" w:w="1440"/>
          </w:tcPr>
          <w:p>
            <w:r>
              <w:rPr>
                <w:rFonts w:ascii="Calibri" w:hAnsi="Calibri"/>
                <w:sz w:val="22"/>
              </w:rPr>
              <w:t>Ace, Heather S.</w:t>
            </w:r>
          </w:p>
        </w:tc>
        <w:tc>
          <w:tcPr>
            <w:tcW w:type="dxa" w:w="1440"/>
          </w:tcPr>
          <w:p>
            <w:r>
              <w:rPr>
                <w:rFonts w:ascii="Calibri" w:hAnsi="Calibri"/>
                <w:sz w:val="22"/>
              </w:rPr>
              <w:t>EVP, Chief HR Officer</w:t>
            </w:r>
          </w:p>
        </w:tc>
        <w:tc>
          <w:tcPr>
            <w:tcW w:type="dxa" w:w="1440"/>
          </w:tcPr>
          <w:p>
            <w:r>
              <w:rPr>
                <w:rFonts w:ascii="Calibri" w:hAnsi="Calibri"/>
                <w:sz w:val="22"/>
              </w:rPr>
              <w:t>10b5-1 Planned Sale</w:t>
            </w:r>
          </w:p>
        </w:tc>
        <w:tc>
          <w:tcPr>
            <w:tcW w:type="dxa" w:w="1440"/>
          </w:tcPr>
          <w:p>
            <w:r>
              <w:rPr>
                <w:rFonts w:ascii="Calibri" w:hAnsi="Calibri"/>
                <w:sz w:val="22"/>
              </w:rPr>
              <w:t>3,200</w:t>
            </w:r>
          </w:p>
        </w:tc>
        <w:tc>
          <w:tcPr>
            <w:tcW w:type="dxa" w:w="1440"/>
          </w:tcPr>
          <w:p>
            <w:r>
              <w:rPr>
                <w:rFonts w:ascii="Calibri" w:hAnsi="Calibri"/>
                <w:sz w:val="22"/>
              </w:rPr>
              <w:t>May 4, 2026</w:t>
            </w:r>
          </w:p>
        </w:tc>
        <w:tc>
          <w:tcPr>
            <w:tcW w:type="dxa" w:w="1440"/>
          </w:tcPr>
          <w:p>
            <w:r>
              <w:rPr>
                <w:rFonts w:ascii="Calibri" w:hAnsi="Calibri"/>
                <w:sz w:val="22"/>
              </w:rPr>
              <w:t>Indirect (by Trust); 10b5-1 plan; routine plan execution</w:t>
            </w:r>
          </w:p>
        </w:tc>
      </w:tr>
      <w:tr>
        <w:tc>
          <w:tcPr>
            <w:tcW w:type="dxa" w:w="1440"/>
          </w:tcPr>
          <w:p>
            <w:r>
              <w:rPr>
                <w:rFonts w:ascii="Calibri" w:hAnsi="Calibri"/>
                <w:sz w:val="22"/>
              </w:rPr>
              <w:t>Amon, Cristiano R.</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10,000</w:t>
            </w:r>
          </w:p>
        </w:tc>
        <w:tc>
          <w:tcPr>
            <w:tcW w:type="dxa" w:w="1440"/>
          </w:tcPr>
          <w:p>
            <w:r>
              <w:rPr>
                <w:rFonts w:ascii="Calibri" w:hAnsi="Calibri"/>
                <w:sz w:val="22"/>
              </w:rPr>
              <w:t>May 4, 2026</w:t>
            </w:r>
          </w:p>
        </w:tc>
        <w:tc>
          <w:tcPr>
            <w:tcW w:type="dxa" w:w="1440"/>
          </w:tcPr>
          <w:p>
            <w:r>
              <w:rPr>
                <w:rFonts w:ascii="Calibri" w:hAnsi="Calibri"/>
                <w:sz w:val="22"/>
              </w:rPr>
              <w:t>Indirect (by Trust); 10b5-1 plan; routine plan execution</w:t>
            </w:r>
          </w:p>
        </w:tc>
      </w:tr>
      <w:tr>
        <w:tc>
          <w:tcPr>
            <w:tcW w:type="dxa" w:w="1440"/>
          </w:tcPr>
          <w:p>
            <w:r>
              <w:rPr>
                <w:rFonts w:ascii="Calibri" w:hAnsi="Calibri"/>
                <w:sz w:val="22"/>
              </w:rPr>
              <w:t>Grech, Patricia Y.</w:t>
            </w:r>
          </w:p>
        </w:tc>
        <w:tc>
          <w:tcPr>
            <w:tcW w:type="dxa" w:w="1440"/>
          </w:tcPr>
          <w:p>
            <w:r>
              <w:rPr>
                <w:rFonts w:ascii="Calibri" w:hAnsi="Calibri"/>
                <w:sz w:val="22"/>
              </w:rPr>
              <w:t>SVP, Chief Accounting Officer</w:t>
            </w:r>
          </w:p>
        </w:tc>
        <w:tc>
          <w:tcPr>
            <w:tcW w:type="dxa" w:w="1440"/>
          </w:tcPr>
          <w:p>
            <w:r>
              <w:rPr>
                <w:rFonts w:ascii="Calibri" w:hAnsi="Calibri"/>
                <w:sz w:val="22"/>
              </w:rPr>
              <w:t>10b5-1 Planned Sale</w:t>
            </w:r>
          </w:p>
        </w:tc>
        <w:tc>
          <w:tcPr>
            <w:tcW w:type="dxa" w:w="1440"/>
          </w:tcPr>
          <w:p>
            <w:r>
              <w:rPr>
                <w:rFonts w:ascii="Calibri" w:hAnsi="Calibri"/>
                <w:sz w:val="22"/>
              </w:rPr>
              <w:t>192</w:t>
            </w:r>
          </w:p>
        </w:tc>
        <w:tc>
          <w:tcPr>
            <w:tcW w:type="dxa" w:w="1440"/>
          </w:tcPr>
          <w:p>
            <w:r>
              <w:rPr>
                <w:rFonts w:ascii="Calibri" w:hAnsi="Calibri"/>
                <w:sz w:val="22"/>
              </w:rPr>
              <w:t>April 30, 2026</w:t>
            </w:r>
          </w:p>
        </w:tc>
        <w:tc>
          <w:tcPr>
            <w:tcW w:type="dxa" w:w="1440"/>
          </w:tcPr>
          <w:p>
            <w:r>
              <w:rPr>
                <w:rFonts w:ascii="Calibri" w:hAnsi="Calibri"/>
                <w:sz w:val="22"/>
              </w:rPr>
              <w:t>Indirect (by Trust); very small lot; routine plan execution</w:t>
            </w:r>
          </w:p>
        </w:tc>
      </w:tr>
    </w:tbl>
    <w:p>
      <w:r>
        <w:rPr>
          <w:rFonts w:ascii="Calibri" w:hAnsi="Calibri"/>
          <w:color w:val="525866"/>
          <w:sz w:val="22"/>
        </w:rPr>
        <w:t>All transactions are 10b5-1 pre-planned sales (transaction code S, disposition type D). No open-market discretionary purchases or sales were recorded in the period. The CFO’s consistent 2,500-share monthly sales and the CEO’s trust-held sales are characteristic of routine diversification plans and carry no informational signal about the upcoming print. The absence of any open-market buying is notable but not unusual given the stock’s proximity to all-time highs in late May/early June following the ByteDance ASIC news.</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