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QUALCOMM INCORPORATED (QCOM) — FISCAL Q3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Qualcomm Incorporated</w:t>
            </w:r>
          </w:p>
        </w:tc>
      </w:tr>
      <w:tr>
        <w:tc>
          <w:tcPr>
            <w:tcW w:type="dxa" w:w="4320"/>
          </w:tcPr>
          <w:p>
            <w:r>
              <w:rPr>
                <w:rFonts w:ascii="Calibri" w:hAnsi="Calibri"/>
                <w:b/>
                <w:sz w:val="22"/>
              </w:rPr>
              <w:t>Ticker</w:t>
            </w:r>
          </w:p>
        </w:tc>
        <w:tc>
          <w:tcPr>
            <w:tcW w:type="dxa" w:w="4320"/>
          </w:tcPr>
          <w:p>
            <w:r>
              <w:rPr>
                <w:rFonts w:ascii="Calibri" w:hAnsi="Calibri"/>
                <w:sz w:val="22"/>
              </w:rPr>
              <w:t>QCOM (NASDAQ)</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28, 2026)</w:t>
            </w:r>
          </w:p>
        </w:tc>
      </w:tr>
      <w:tr>
        <w:tc>
          <w:tcPr>
            <w:tcW w:type="dxa" w:w="4320"/>
          </w:tcPr>
          <w:p>
            <w:r>
              <w:rPr>
                <w:rFonts w:ascii="Calibri" w:hAnsi="Calibri"/>
                <w:b/>
                <w:sz w:val="22"/>
              </w:rPr>
              <w:t>Earnings Date</w:t>
            </w:r>
          </w:p>
        </w:tc>
        <w:tc>
          <w:tcPr>
            <w:tcW w:type="dxa" w:w="4320"/>
          </w:tcPr>
          <w:p>
            <w:r>
              <w:rPr>
                <w:rFonts w:ascii="Calibri" w:hAnsi="Calibri"/>
                <w:sz w:val="22"/>
              </w:rPr>
              <w:t>July 29, 2026 (after market close; call at 1:45 PM PT)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(Q2 FY2026)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a low bar on handsets but a high bar on the data-center narrative — the single biggest swing factor is whether management's Q4 China Android recovery call holds and whether the Investor Day data-center targets (&gt;$5B FY2027 revenue) get any near-term validation.</w:t>
      </w:r>
    </w:p>
    <w:p>
      <w:r>
        <w:rPr>
          <w:rFonts w:ascii="Calibri" w:hAnsi="Calibri"/>
          <w:color w:val="525866"/>
          <w:sz w:val="22"/>
        </w:rPr>
        <w:t xml:space="preserve">Heading into Q3 FY2026, consensus sits at roughly </w:t>
      </w:r>
      <w:r>
        <w:rPr>
          <w:rFonts w:ascii="Calibri" w:hAnsi="Calibri"/>
          <w:b/>
          <w:color w:val="525866"/>
          <w:sz w:val="22"/>
        </w:rPr>
        <w:t>$9.66B revenue and $2.23 non-GAAP EPS</w:t>
      </w:r>
      <w:r>
        <w:rPr>
          <w:rFonts w:ascii="Calibri" w:hAnsi="Calibri"/>
          <w:color w:val="525866"/>
          <w:sz w:val="22"/>
        </w:rPr>
        <w:t xml:space="preserve"> — both modestly above the guidance midpoints of $9.6B and $2.20, leaving a thin but achievable cushion. Management's posture has shifted from cautious to cautiously constructive since the April print: the explicit Q3 bottom call on China Android, the June 24 Investor Day doubling of the FY2029 revenue target to $40B, the naming of Microsoft and Meta as data-center CPU customers, and the announcement of a second hyperscaler custom-silicon win have all reinforced the diversification thesis. Estimate revisions have been modestly negative since last earnings — Q3 EPS consensus has drifted from ~$2.20 at the post-print baseline to ~$2.23 today, essentially flat, while FY2026 and FY2027 EPS have edged slightly higher — suggesting the Street has largely absorbed the guidance miss and is now pricing in the recovery narrative. The stock has underperformed SOXX materially since the April print (QCOM roughly flat to down vs. SOXX up ~9%), trading at only ~15.6x NTM P/E versus the sector at 25–30x, implying the market has not yet priced in the data-center optionality. The key wildcard is </w:t>
      </w:r>
      <w:r>
        <w:rPr>
          <w:rFonts w:ascii="Calibri" w:hAnsi="Calibri"/>
          <w:b/>
          <w:color w:val="525866"/>
          <w:sz w:val="22"/>
        </w:rPr>
        <w:t>memory supply normalization timing</w:t>
      </w:r>
      <w:r>
        <w:rPr>
          <w:rFonts w:ascii="Calibri" w:hAnsi="Calibri"/>
          <w:color w:val="525866"/>
          <w:sz w:val="22"/>
        </w:rPr>
        <w:t>: if DRAM pricing shows any sign of easing into Q4, China OEM build plans could recover faster than guided, creating upside to both Q4 guidance and FY2027 handset estimates; conversely, any further tightening or a delay in the hyperscaler custom-silicon ramp could pressure the stock despite an otherwise in-line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modestly low bar on revenue and EPS given the guided range, but </w:t>
      </w:r>
      <w:r>
        <w:rPr>
          <w:rFonts w:ascii="Calibri" w:hAnsi="Calibri"/>
          <w:b/>
          <w:color w:val="525866"/>
          <w:sz w:val="22"/>
        </w:rPr>
        <w:t>QCT Handset revenue (~$4.96B consensus vs. ~$4.9B guidance) is the bigger swing factor</w:t>
      </w:r>
      <w:r>
        <w:rPr>
          <w:rFonts w:ascii="Calibri" w:hAnsi="Calibri"/>
          <w:color w:val="525866"/>
          <w:sz w:val="22"/>
        </w:rPr>
        <w:t xml:space="preserve"> — any sign that China OEM builds are recovering faster than feared could drive a meaningful beat, while automotive (~$1.48B, +50% YoY guided) is tracking well and unlikely to disappoint.</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Q3 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(Operating)</w:t>
            </w:r>
          </w:p>
        </w:tc>
        <w:tc>
          <w:tcPr>
            <w:tcW w:type="dxa" w:w="1234"/>
          </w:tcPr>
          <w:p>
            <w:r>
              <w:rPr>
                <w:rFonts w:ascii="Calibri" w:hAnsi="Calibri"/>
                <w:sz w:val="22"/>
              </w:rPr>
              <w:t>$10.60B</w:t>
            </w:r>
          </w:p>
        </w:tc>
        <w:tc>
          <w:tcPr>
            <w:tcW w:type="dxa" w:w="1234"/>
          </w:tcPr>
          <w:p>
            <w:r>
              <w:rPr>
                <w:rFonts w:ascii="Calibri" w:hAnsi="Calibri"/>
                <w:sz w:val="22"/>
              </w:rPr>
              <w:t>$10.37B</w:t>
            </w:r>
          </w:p>
        </w:tc>
        <w:tc>
          <w:tcPr>
            <w:tcW w:type="dxa" w:w="1234"/>
          </w:tcPr>
          <w:p>
            <w:r>
              <w:rPr>
                <w:rFonts w:ascii="Calibri" w:hAnsi="Calibri"/>
                <w:sz w:val="22"/>
              </w:rPr>
              <w:t>$9.66B ¹</w:t>
            </w:r>
          </w:p>
        </w:tc>
        <w:tc>
          <w:tcPr>
            <w:tcW w:type="dxa" w:w="1234"/>
          </w:tcPr>
          <w:p>
            <w:r>
              <w:rPr>
                <w:rFonts w:ascii="Calibri" w:hAnsi="Calibri"/>
                <w:sz w:val="22"/>
              </w:rPr>
              <w:t>-6.8%</w:t>
            </w:r>
          </w:p>
        </w:tc>
        <w:tc>
          <w:tcPr>
            <w:tcW w:type="dxa" w:w="1234"/>
          </w:tcPr>
          <w:p>
            <w:r>
              <w:rPr>
                <w:rFonts w:ascii="Calibri" w:hAnsi="Calibri"/>
                <w:sz w:val="22"/>
              </w:rPr>
              <w:t>$9.60B (midpoint of $9.2B–$10.0B)</w:t>
            </w:r>
          </w:p>
        </w:tc>
        <w:tc>
          <w:tcPr>
            <w:tcW w:type="dxa" w:w="1234"/>
          </w:tcPr>
          <w:p>
            <w:r>
              <w:rPr>
                <w:rFonts w:ascii="Calibri" w:hAnsi="Calibri"/>
                <w:sz w:val="22"/>
              </w:rPr>
              <w:t>+0.7%</w:t>
            </w:r>
          </w:p>
        </w:tc>
      </w:tr>
      <w:tr>
        <w:tc>
          <w:tcPr>
            <w:tcW w:type="dxa" w:w="1234"/>
          </w:tcPr>
          <w:p>
            <w:r>
              <w:rPr>
                <w:rFonts w:ascii="Calibri" w:hAnsi="Calibri"/>
                <w:sz w:val="22"/>
              </w:rPr>
              <w:t>Non-GAAP Diluted EPS (Operating)</w:t>
            </w:r>
          </w:p>
        </w:tc>
        <w:tc>
          <w:tcPr>
            <w:tcW w:type="dxa" w:w="1234"/>
          </w:tcPr>
          <w:p>
            <w:r>
              <w:rPr>
                <w:rFonts w:ascii="Calibri" w:hAnsi="Calibri"/>
                <w:sz w:val="22"/>
              </w:rPr>
              <w:t>$2.65</w:t>
            </w:r>
          </w:p>
        </w:tc>
        <w:tc>
          <w:tcPr>
            <w:tcW w:type="dxa" w:w="1234"/>
          </w:tcPr>
          <w:p>
            <w:r>
              <w:rPr>
                <w:rFonts w:ascii="Calibri" w:hAnsi="Calibri"/>
                <w:sz w:val="22"/>
              </w:rPr>
              <w:t>$2.77</w:t>
            </w:r>
          </w:p>
        </w:tc>
        <w:tc>
          <w:tcPr>
            <w:tcW w:type="dxa" w:w="1234"/>
          </w:tcPr>
          <w:p>
            <w:r>
              <w:rPr>
                <w:rFonts w:ascii="Calibri" w:hAnsi="Calibri"/>
                <w:sz w:val="22"/>
              </w:rPr>
              <w:t>$2.23 ¹</w:t>
            </w:r>
          </w:p>
        </w:tc>
        <w:tc>
          <w:tcPr>
            <w:tcW w:type="dxa" w:w="1234"/>
          </w:tcPr>
          <w:p>
            <w:r>
              <w:rPr>
                <w:rFonts w:ascii="Calibri" w:hAnsi="Calibri"/>
                <w:sz w:val="22"/>
              </w:rPr>
              <w:t>-19.5%</w:t>
            </w:r>
          </w:p>
        </w:tc>
        <w:tc>
          <w:tcPr>
            <w:tcW w:type="dxa" w:w="1234"/>
          </w:tcPr>
          <w:p>
            <w:r>
              <w:rPr>
                <w:rFonts w:ascii="Calibri" w:hAnsi="Calibri"/>
                <w:sz w:val="22"/>
              </w:rPr>
              <w:t>$2.20 (midpoint of $2.10–$2.30)</w:t>
            </w:r>
          </w:p>
        </w:tc>
        <w:tc>
          <w:tcPr>
            <w:tcW w:type="dxa" w:w="1234"/>
          </w:tcPr>
          <w:p>
            <w:r>
              <w:rPr>
                <w:rFonts w:ascii="Calibri" w:hAnsi="Calibri"/>
                <w:sz w:val="22"/>
              </w:rPr>
              <w:t>+1.5%</w:t>
            </w:r>
          </w:p>
        </w:tc>
      </w:tr>
      <w:tr>
        <w:tc>
          <w:tcPr>
            <w:tcW w:type="dxa" w:w="1234"/>
          </w:tcPr>
          <w:p>
            <w:r>
              <w:rPr>
                <w:rFonts w:ascii="Calibri" w:hAnsi="Calibri"/>
                <w:sz w:val="22"/>
              </w:rPr>
              <w:t>QCT Handset Revenue</w:t>
            </w:r>
          </w:p>
        </w:tc>
        <w:tc>
          <w:tcPr>
            <w:tcW w:type="dxa" w:w="1234"/>
          </w:tcPr>
          <w:p>
            <w:r>
              <w:rPr>
                <w:rFonts w:ascii="Calibri" w:hAnsi="Calibri"/>
                <w:sz w:val="22"/>
              </w:rPr>
              <w:t>$6.02B</w:t>
            </w:r>
          </w:p>
        </w:tc>
        <w:tc>
          <w:tcPr>
            <w:tcW w:type="dxa" w:w="1234"/>
          </w:tcPr>
          <w:p>
            <w:r>
              <w:rPr>
                <w:rFonts w:ascii="Calibri" w:hAnsi="Calibri"/>
                <w:sz w:val="22"/>
              </w:rPr>
              <w:t>$6.33B</w:t>
            </w:r>
          </w:p>
        </w:tc>
        <w:tc>
          <w:tcPr>
            <w:tcW w:type="dxa" w:w="1234"/>
          </w:tcPr>
          <w:p>
            <w:r>
              <w:rPr>
                <w:rFonts w:ascii="Calibri" w:hAnsi="Calibri"/>
                <w:sz w:val="22"/>
              </w:rPr>
              <w:t>$4.96B ¹</w:t>
            </w:r>
          </w:p>
        </w:tc>
        <w:tc>
          <w:tcPr>
            <w:tcW w:type="dxa" w:w="1234"/>
          </w:tcPr>
          <w:p>
            <w:r>
              <w:rPr>
                <w:rFonts w:ascii="Calibri" w:hAnsi="Calibri"/>
                <w:sz w:val="22"/>
              </w:rPr>
              <w:t>-21.6%</w:t>
            </w:r>
          </w:p>
        </w:tc>
        <w:tc>
          <w:tcPr>
            <w:tcW w:type="dxa" w:w="1234"/>
          </w:tcPr>
          <w:p>
            <w:r>
              <w:rPr>
                <w:rFonts w:ascii="Calibri" w:hAnsi="Calibri"/>
                <w:sz w:val="22"/>
              </w:rPr>
              <w:t>~$4.9B (guided)</w:t>
            </w:r>
          </w:p>
        </w:tc>
        <w:tc>
          <w:tcPr>
            <w:tcW w:type="dxa" w:w="1234"/>
          </w:tcPr>
          <w:p>
            <w:r>
              <w:rPr>
                <w:rFonts w:ascii="Calibri" w:hAnsi="Calibri"/>
                <w:sz w:val="22"/>
              </w:rPr>
              <w:t>+1.2%</w:t>
            </w:r>
          </w:p>
        </w:tc>
      </w:tr>
      <w:tr>
        <w:tc>
          <w:tcPr>
            <w:tcW w:type="dxa" w:w="1234"/>
          </w:tcPr>
          <w:p>
            <w:r>
              <w:rPr>
                <w:rFonts w:ascii="Calibri" w:hAnsi="Calibri"/>
                <w:sz w:val="22"/>
              </w:rPr>
              <w:t>QCT Automotive Revenue</w:t>
            </w:r>
          </w:p>
        </w:tc>
        <w:tc>
          <w:tcPr>
            <w:tcW w:type="dxa" w:w="1234"/>
          </w:tcPr>
          <w:p>
            <w:r>
              <w:rPr>
                <w:rFonts w:ascii="Calibri" w:hAnsi="Calibri"/>
                <w:sz w:val="22"/>
              </w:rPr>
              <w:t>$1.33B</w:t>
            </w:r>
          </w:p>
        </w:tc>
        <w:tc>
          <w:tcPr>
            <w:tcW w:type="dxa" w:w="1234"/>
          </w:tcPr>
          <w:p>
            <w:r>
              <w:rPr>
                <w:rFonts w:ascii="Calibri" w:hAnsi="Calibri"/>
                <w:sz w:val="22"/>
              </w:rPr>
              <w:t>$0.98B</w:t>
            </w:r>
          </w:p>
        </w:tc>
        <w:tc>
          <w:tcPr>
            <w:tcW w:type="dxa" w:w="1234"/>
          </w:tcPr>
          <w:p>
            <w:r>
              <w:rPr>
                <w:rFonts w:ascii="Calibri" w:hAnsi="Calibri"/>
                <w:sz w:val="22"/>
              </w:rPr>
              <w:t>$1.48B ¹</w:t>
            </w:r>
          </w:p>
        </w:tc>
        <w:tc>
          <w:tcPr>
            <w:tcW w:type="dxa" w:w="1234"/>
          </w:tcPr>
          <w:p>
            <w:r>
              <w:rPr>
                <w:rFonts w:ascii="Calibri" w:hAnsi="Calibri"/>
                <w:sz w:val="22"/>
              </w:rPr>
              <w:t>+51.0%</w:t>
            </w:r>
          </w:p>
        </w:tc>
        <w:tc>
          <w:tcPr>
            <w:tcW w:type="dxa" w:w="1234"/>
          </w:tcPr>
          <w:p>
            <w:r>
              <w:rPr>
                <w:rFonts w:ascii="Calibri" w:hAnsi="Calibri"/>
                <w:sz w:val="22"/>
              </w:rPr>
              <w:t>~+50% YoY (guided)</w:t>
            </w:r>
          </w:p>
        </w:tc>
        <w:tc>
          <w:tcPr>
            <w:tcW w:type="dxa" w:w="1234"/>
          </w:tcPr>
          <w:p>
            <w:r>
              <w:rPr>
                <w:rFonts w:ascii="Calibri" w:hAnsi="Calibri"/>
                <w:sz w:val="22"/>
              </w:rPr>
              <w:t>~+1% vs. implied ~$1.47B</w:t>
            </w:r>
          </w:p>
        </w:tc>
      </w:tr>
      <w:tr>
        <w:tc>
          <w:tcPr>
            <w:tcW w:type="dxa" w:w="1234"/>
          </w:tcPr>
          <w:p>
            <w:r>
              <w:rPr>
                <w:rFonts w:ascii="Calibri" w:hAnsi="Calibri"/>
                <w:sz w:val="22"/>
              </w:rPr>
              <w:t>QCT IoT Revenue</w:t>
            </w:r>
          </w:p>
        </w:tc>
        <w:tc>
          <w:tcPr>
            <w:tcW w:type="dxa" w:w="1234"/>
          </w:tcPr>
          <w:p>
            <w:r>
              <w:rPr>
                <w:rFonts w:ascii="Calibri" w:hAnsi="Calibri"/>
                <w:sz w:val="22"/>
              </w:rPr>
              <w:t>$1.73B</w:t>
            </w:r>
          </w:p>
        </w:tc>
        <w:tc>
          <w:tcPr>
            <w:tcW w:type="dxa" w:w="1234"/>
          </w:tcPr>
          <w:p>
            <w:r>
              <w:rPr>
                <w:rFonts w:ascii="Calibri" w:hAnsi="Calibri"/>
                <w:sz w:val="22"/>
              </w:rPr>
              <w:t>$1.68B</w:t>
            </w:r>
          </w:p>
        </w:tc>
        <w:tc>
          <w:tcPr>
            <w:tcW w:type="dxa" w:w="1234"/>
          </w:tcPr>
          <w:p>
            <w:r>
              <w:rPr>
                <w:rFonts w:ascii="Calibri" w:hAnsi="Calibri"/>
                <w:sz w:val="22"/>
              </w:rPr>
              <w:t>$1.83B ¹</w:t>
            </w:r>
          </w:p>
        </w:tc>
        <w:tc>
          <w:tcPr>
            <w:tcW w:type="dxa" w:w="1234"/>
          </w:tcPr>
          <w:p>
            <w:r>
              <w:rPr>
                <w:rFonts w:ascii="Calibri" w:hAnsi="Calibri"/>
                <w:sz w:val="22"/>
              </w:rPr>
              <w:t>+9.0%</w:t>
            </w:r>
          </w:p>
        </w:tc>
        <w:tc>
          <w:tcPr>
            <w:tcW w:type="dxa" w:w="1234"/>
          </w:tcPr>
          <w:p>
            <w:r>
              <w:rPr>
                <w:rFonts w:ascii="Calibri" w:hAnsi="Calibri"/>
                <w:sz w:val="22"/>
              </w:rPr>
              <w:t>High single-digit YoY growth (guided)</w:t>
            </w:r>
          </w:p>
        </w:tc>
        <w:tc>
          <w:tcPr>
            <w:tcW w:type="dxa" w:w="1234"/>
          </w:tcPr>
          <w:p>
            <w:r>
              <w:rPr>
                <w:rFonts w:ascii="Calibri" w:hAnsi="Calibri"/>
                <w:sz w:val="22"/>
              </w:rPr>
              <w:t>~+1% vs. implied ~$1.81B</w:t>
            </w:r>
          </w:p>
        </w:tc>
      </w:tr>
      <w:tr>
        <w:tc>
          <w:tcPr>
            <w:tcW w:type="dxa" w:w="1234"/>
          </w:tcPr>
          <w:p>
            <w:r>
              <w:rPr>
                <w:rFonts w:ascii="Calibri" w:hAnsi="Calibri"/>
                <w:sz w:val="22"/>
              </w:rPr>
              <w:t>QCT EBT Margin (Operating)</w:t>
            </w:r>
          </w:p>
        </w:tc>
        <w:tc>
          <w:tcPr>
            <w:tcW w:type="dxa" w:w="1234"/>
          </w:tcPr>
          <w:p>
            <w:r>
              <w:rPr>
                <w:rFonts w:ascii="Calibri" w:hAnsi="Calibri"/>
                <w:sz w:val="22"/>
              </w:rPr>
              <w:t>27.2%</w:t>
            </w:r>
          </w:p>
        </w:tc>
        <w:tc>
          <w:tcPr>
            <w:tcW w:type="dxa" w:w="1234"/>
          </w:tcPr>
          <w:p>
            <w:r>
              <w:rPr>
                <w:rFonts w:ascii="Calibri" w:hAnsi="Calibri"/>
                <w:sz w:val="22"/>
              </w:rPr>
              <w:t>29.7%</w:t>
            </w:r>
          </w:p>
        </w:tc>
        <w:tc>
          <w:tcPr>
            <w:tcW w:type="dxa" w:w="1234"/>
          </w:tcPr>
          <w:p>
            <w:r>
              <w:rPr>
                <w:rFonts w:ascii="Calibri" w:hAnsi="Calibri"/>
                <w:sz w:val="22"/>
              </w:rPr>
              <w:t>25.9% ¹</w:t>
            </w:r>
          </w:p>
        </w:tc>
        <w:tc>
          <w:tcPr>
            <w:tcW w:type="dxa" w:w="1234"/>
          </w:tcPr>
          <w:p>
            <w:r>
              <w:rPr>
                <w:rFonts w:ascii="Calibri" w:hAnsi="Calibri"/>
                <w:sz w:val="22"/>
              </w:rPr>
              <w:t>-380 bps</w:t>
            </w:r>
          </w:p>
        </w:tc>
        <w:tc>
          <w:tcPr>
            <w:tcW w:type="dxa" w:w="1234"/>
          </w:tcPr>
          <w:p>
            <w:r>
              <w:rPr>
                <w:rFonts w:ascii="Calibri" w:hAnsi="Calibri"/>
                <w:sz w:val="22"/>
              </w:rPr>
              <w:t>25%–27% (guided)</w:t>
            </w:r>
          </w:p>
        </w:tc>
        <w:tc>
          <w:tcPr>
            <w:tcW w:type="dxa" w:w="1234"/>
          </w:tcPr>
          <w:p>
            <w:r>
              <w:rPr>
                <w:rFonts w:ascii="Calibri" w:hAnsi="Calibri"/>
                <w:sz w:val="22"/>
              </w:rPr>
              <w:t>~+90 bps vs. 25% floor</w:t>
            </w:r>
          </w:p>
        </w:tc>
      </w:tr>
      <w:tr>
        <w:tc>
          <w:tcPr>
            <w:tcW w:type="dxa" w:w="1234"/>
          </w:tcPr>
          <w:p>
            <w:r>
              <w:rPr>
                <w:rFonts w:ascii="Calibri" w:hAnsi="Calibri"/>
                <w:sz w:val="22"/>
              </w:rPr>
              <w:t>QTL Revenue</w:t>
            </w:r>
          </w:p>
        </w:tc>
        <w:tc>
          <w:tcPr>
            <w:tcW w:type="dxa" w:w="1234"/>
          </w:tcPr>
          <w:p>
            <w:r>
              <w:rPr>
                <w:rFonts w:ascii="Calibri" w:hAnsi="Calibri"/>
                <w:sz w:val="22"/>
              </w:rPr>
              <w:t>N/A — not separately broken out in VA consensus for Q2 (est. ~$1.25B based on total less QCT)</w:t>
            </w:r>
          </w:p>
        </w:tc>
        <w:tc>
          <w:tcPr>
            <w:tcW w:type="dxa" w:w="1234"/>
          </w:tcPr>
          <w:p>
            <w:r>
              <w:rPr>
                <w:rFonts w:ascii="Calibri" w:hAnsi="Calibri"/>
                <w:sz w:val="22"/>
              </w:rPr>
              <w:t>N/A</w:t>
            </w:r>
          </w:p>
        </w:tc>
        <w:tc>
          <w:tcPr>
            <w:tcW w:type="dxa" w:w="1234"/>
          </w:tcPr>
          <w:p>
            <w:r>
              <w:rPr>
                <w:rFonts w:ascii="Calibri" w:hAnsi="Calibri"/>
                <w:sz w:val="22"/>
              </w:rPr>
              <w:t>N/A — not in VA consensus at segment level</w:t>
            </w:r>
          </w:p>
        </w:tc>
        <w:tc>
          <w:tcPr>
            <w:tcW w:type="dxa" w:w="1234"/>
          </w:tcPr>
          <w:p>
            <w:r>
              <w:rPr>
                <w:rFonts w:ascii="Calibri" w:hAnsi="Calibri"/>
                <w:sz w:val="22"/>
              </w:rPr>
              <w:t>N/A</w:t>
            </w:r>
          </w:p>
        </w:tc>
        <w:tc>
          <w:tcPr>
            <w:tcW w:type="dxa" w:w="1234"/>
          </w:tcPr>
          <w:p>
            <w:r>
              <w:rPr>
                <w:rFonts w:ascii="Calibri" w:hAnsi="Calibri"/>
                <w:sz w:val="22"/>
              </w:rPr>
              <w:t>$1.15B–$1.35B (guided); midpoint $1.25B</w:t>
            </w:r>
          </w:p>
        </w:tc>
        <w:tc>
          <w:tcPr>
            <w:tcW w:type="dxa" w:w="1234"/>
          </w:tcPr>
          <w:p>
            <w:r>
              <w:rPr>
                <w:rFonts w:ascii="Calibri" w:hAnsi="Calibri"/>
                <w:sz w:val="22"/>
              </w:rPr>
              <w:t>N/A</w:t>
            </w:r>
          </w:p>
        </w:tc>
      </w:tr>
    </w:tbl>
    <w:p>
      <w:r>
        <w:rPr>
          <w:rFonts w:ascii="Calibri" w:hAnsi="Calibri"/>
          <w:i/>
          <w:color w:val="525866"/>
          <w:sz w:val="22"/>
        </w:rPr>
        <w:t>¹ Source: Visible Alpha Consensus and Actuals Data</w:t>
      </w:r>
    </w:p>
    <w:p>
      <w:pPr>
        <w:pStyle w:val="Heading3"/>
      </w:pPr>
      <w:r>
        <w:rPr>
          <w:rFonts w:ascii="Calibri" w:hAnsi="Calibri"/>
          <w:b/>
          <w:color w:val="3B4259"/>
          <w:sz w:val="24"/>
        </w:rPr>
        <w:t>Table 2 — Beat/Miss History (Last 8 Quarters)</w:t>
      </w:r>
    </w:p>
    <w:p>
      <w:r>
        <w:rPr>
          <w:rFonts w:ascii="Calibri" w:hAnsi="Calibri"/>
          <w:b/>
          <w:color w:val="525866"/>
          <w:sz w:val="22"/>
        </w:rPr>
        <w:t>Top 2 KPIs: Total Revenue (Operating) and Non-GAAP Diluted EPS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Actual</w:t>
            </w:r>
          </w:p>
        </w:tc>
        <w:tc>
          <w:tcPr>
            <w:tcW w:type="dxa" w:w="1440"/>
            <w:shd w:val="clear" w:color="auto" w:fill="3B4259"/>
          </w:tcPr>
          <w:p>
            <w:r>
              <w:rPr>
                <w:rFonts w:ascii="Calibri" w:hAnsi="Calibri"/>
                <w:b/>
                <w:color w:val="FFFFFF"/>
                <w:sz w:val="22"/>
              </w:rPr>
              <w:t>Consensus at Print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FY2024</w:t>
            </w:r>
          </w:p>
        </w:tc>
        <w:tc>
          <w:tcPr>
            <w:tcW w:type="dxa" w:w="1440"/>
          </w:tcPr>
          <w:p>
            <w:r>
              <w:rPr>
                <w:rFonts w:ascii="Calibri" w:hAnsi="Calibri"/>
                <w:sz w:val="22"/>
              </w:rPr>
              <w:t>Revenue</w:t>
            </w:r>
          </w:p>
        </w:tc>
        <w:tc>
          <w:tcPr>
            <w:tcW w:type="dxa" w:w="1440"/>
          </w:tcPr>
          <w:p>
            <w:r>
              <w:rPr>
                <w:rFonts w:ascii="Calibri" w:hAnsi="Calibri"/>
                <w:sz w:val="22"/>
              </w:rPr>
              <w:t>$9.39B</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FY2024</w:t>
            </w:r>
          </w:p>
        </w:tc>
        <w:tc>
          <w:tcPr>
            <w:tcW w:type="dxa" w:w="1440"/>
          </w:tcPr>
          <w:p>
            <w:r>
              <w:rPr>
                <w:rFonts w:ascii="Calibri" w:hAnsi="Calibri"/>
                <w:sz w:val="22"/>
              </w:rPr>
              <w:t>Non-GAAP EPS</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FY2024</w:t>
            </w:r>
          </w:p>
        </w:tc>
        <w:tc>
          <w:tcPr>
            <w:tcW w:type="dxa" w:w="1440"/>
          </w:tcPr>
          <w:p>
            <w:r>
              <w:rPr>
                <w:rFonts w:ascii="Calibri" w:hAnsi="Calibri"/>
                <w:sz w:val="22"/>
              </w:rPr>
              <w:t>Revenue</w:t>
            </w:r>
          </w:p>
        </w:tc>
        <w:tc>
          <w:tcPr>
            <w:tcW w:type="dxa" w:w="1440"/>
          </w:tcPr>
          <w:p>
            <w:r>
              <w:rPr>
                <w:rFonts w:ascii="Calibri" w:hAnsi="Calibri"/>
                <w:sz w:val="22"/>
              </w:rPr>
              <w:t>$10.24B ¹</w:t>
            </w:r>
          </w:p>
        </w:tc>
        <w:tc>
          <w:tcPr>
            <w:tcW w:type="dxa" w:w="1440"/>
          </w:tcPr>
          <w:p>
            <w:r>
              <w:rPr>
                <w:rFonts w:ascii="Calibri" w:hAnsi="Calibri"/>
                <w:sz w:val="22"/>
              </w:rPr>
              <w:t>$9.90B ¹</w:t>
            </w:r>
          </w:p>
        </w:tc>
        <w:tc>
          <w:tcPr>
            <w:tcW w:type="dxa" w:w="1440"/>
          </w:tcPr>
          <w:p>
            <w:r>
              <w:rPr>
                <w:rFonts w:ascii="Calibri" w:hAnsi="Calibri"/>
                <w:b/>
                <w:color w:val="30A46C"/>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Non-GAAP EPS</w:t>
            </w:r>
          </w:p>
        </w:tc>
        <w:tc>
          <w:tcPr>
            <w:tcW w:type="dxa" w:w="1440"/>
          </w:tcPr>
          <w:p>
            <w:r>
              <w:rPr>
                <w:rFonts w:ascii="Calibri" w:hAnsi="Calibri"/>
                <w:sz w:val="22"/>
              </w:rPr>
              <w:t>$2.69 ¹</w:t>
            </w:r>
          </w:p>
        </w:tc>
        <w:tc>
          <w:tcPr>
            <w:tcW w:type="dxa" w:w="1440"/>
          </w:tcPr>
          <w:p>
            <w:r>
              <w:rPr>
                <w:rFonts w:ascii="Calibri" w:hAnsi="Calibri"/>
                <w:sz w:val="22"/>
              </w:rPr>
              <w:t>$2.56 ¹</w:t>
            </w:r>
          </w:p>
        </w:tc>
        <w:tc>
          <w:tcPr>
            <w:tcW w:type="dxa" w:w="1440"/>
          </w:tcPr>
          <w:p>
            <w:r>
              <w:rPr>
                <w:rFonts w:ascii="Calibri" w:hAnsi="Calibri"/>
                <w:b/>
                <w:color w:val="30A46C"/>
                <w:sz w:val="22"/>
              </w:rPr>
              <w:t>+5.1%</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Revenue</w:t>
            </w:r>
          </w:p>
        </w:tc>
        <w:tc>
          <w:tcPr>
            <w:tcW w:type="dxa" w:w="1440"/>
          </w:tcPr>
          <w:p>
            <w:r>
              <w:rPr>
                <w:rFonts w:ascii="Calibri" w:hAnsi="Calibri"/>
                <w:sz w:val="22"/>
              </w:rPr>
              <w:t>$11.67B ¹</w:t>
            </w:r>
          </w:p>
        </w:tc>
        <w:tc>
          <w:tcPr>
            <w:tcW w:type="dxa" w:w="1440"/>
          </w:tcPr>
          <w:p>
            <w:r>
              <w:rPr>
                <w:rFonts w:ascii="Calibri" w:hAnsi="Calibri"/>
                <w:sz w:val="22"/>
              </w:rPr>
              <w:t>$10.90B ¹</w:t>
            </w:r>
          </w:p>
        </w:tc>
        <w:tc>
          <w:tcPr>
            <w:tcW w:type="dxa" w:w="1440"/>
          </w:tcPr>
          <w:p>
            <w:r>
              <w:rPr>
                <w:rFonts w:ascii="Calibri" w:hAnsi="Calibri"/>
                <w:b/>
                <w:color w:val="30A46C"/>
                <w:sz w:val="22"/>
              </w:rPr>
              <w:t>+7.1%</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Non-GAAP EPS</w:t>
            </w:r>
          </w:p>
        </w:tc>
        <w:tc>
          <w:tcPr>
            <w:tcW w:type="dxa" w:w="1440"/>
          </w:tcPr>
          <w:p>
            <w:r>
              <w:rPr>
                <w:rFonts w:ascii="Calibri" w:hAnsi="Calibri"/>
                <w:sz w:val="22"/>
              </w:rPr>
              <w:t>$3.41 ¹</w:t>
            </w:r>
          </w:p>
        </w:tc>
        <w:tc>
          <w:tcPr>
            <w:tcW w:type="dxa" w:w="1440"/>
          </w:tcPr>
          <w:p>
            <w:r>
              <w:rPr>
                <w:rFonts w:ascii="Calibri" w:hAnsi="Calibri"/>
                <w:sz w:val="22"/>
              </w:rPr>
              <w:t>$2.95 ¹</w:t>
            </w:r>
          </w:p>
        </w:tc>
        <w:tc>
          <w:tcPr>
            <w:tcW w:type="dxa" w:w="1440"/>
          </w:tcPr>
          <w:p>
            <w:r>
              <w:rPr>
                <w:rFonts w:ascii="Calibri" w:hAnsi="Calibri"/>
                <w:b/>
                <w:color w:val="30A46C"/>
                <w:sz w:val="22"/>
              </w:rPr>
              <w:t>+15.6%</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Revenue</w:t>
            </w:r>
          </w:p>
        </w:tc>
        <w:tc>
          <w:tcPr>
            <w:tcW w:type="dxa" w:w="1440"/>
          </w:tcPr>
          <w:p>
            <w:r>
              <w:rPr>
                <w:rFonts w:ascii="Calibri" w:hAnsi="Calibri"/>
                <w:sz w:val="22"/>
              </w:rPr>
              <w:t>$10.84B ¹</w:t>
            </w:r>
          </w:p>
        </w:tc>
        <w:tc>
          <w:tcPr>
            <w:tcW w:type="dxa" w:w="1440"/>
          </w:tcPr>
          <w:p>
            <w:r>
              <w:rPr>
                <w:rFonts w:ascii="Calibri" w:hAnsi="Calibri"/>
                <w:sz w:val="22"/>
              </w:rPr>
              <w:t>$10.63B ¹</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Non-GAAP EPS</w:t>
            </w:r>
          </w:p>
        </w:tc>
        <w:tc>
          <w:tcPr>
            <w:tcW w:type="dxa" w:w="1440"/>
          </w:tcPr>
          <w:p>
            <w:r>
              <w:rPr>
                <w:rFonts w:ascii="Calibri" w:hAnsi="Calibri"/>
                <w:sz w:val="22"/>
              </w:rPr>
              <w:t>$2.85 ¹</w:t>
            </w:r>
          </w:p>
        </w:tc>
        <w:tc>
          <w:tcPr>
            <w:tcW w:type="dxa" w:w="1440"/>
          </w:tcPr>
          <w:p>
            <w:r>
              <w:rPr>
                <w:rFonts w:ascii="Calibri" w:hAnsi="Calibri"/>
                <w:sz w:val="22"/>
              </w:rPr>
              <w:t>$2.82 ¹</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Revenue</w:t>
            </w:r>
          </w:p>
        </w:tc>
        <w:tc>
          <w:tcPr>
            <w:tcW w:type="dxa" w:w="1440"/>
          </w:tcPr>
          <w:p>
            <w:r>
              <w:rPr>
                <w:rFonts w:ascii="Calibri" w:hAnsi="Calibri"/>
                <w:sz w:val="22"/>
              </w:rPr>
              <w:t>$10.37B ¹</w:t>
            </w:r>
          </w:p>
        </w:tc>
        <w:tc>
          <w:tcPr>
            <w:tcW w:type="dxa" w:w="1440"/>
          </w:tcPr>
          <w:p>
            <w:r>
              <w:rPr>
                <w:rFonts w:ascii="Calibri" w:hAnsi="Calibri"/>
                <w:sz w:val="22"/>
              </w:rPr>
              <w:t>$10.34B ¹</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Non-GAAP EPS</w:t>
            </w:r>
          </w:p>
        </w:tc>
        <w:tc>
          <w:tcPr>
            <w:tcW w:type="dxa" w:w="1440"/>
          </w:tcPr>
          <w:p>
            <w:r>
              <w:rPr>
                <w:rFonts w:ascii="Calibri" w:hAnsi="Calibri"/>
                <w:sz w:val="22"/>
              </w:rPr>
              <w:t>$2.77 ¹</w:t>
            </w:r>
          </w:p>
        </w:tc>
        <w:tc>
          <w:tcPr>
            <w:tcW w:type="dxa" w:w="1440"/>
          </w:tcPr>
          <w:p>
            <w:r>
              <w:rPr>
                <w:rFonts w:ascii="Calibri" w:hAnsi="Calibri"/>
                <w:sz w:val="22"/>
              </w:rPr>
              <w:t>$2.70 ¹</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Revenue</w:t>
            </w:r>
          </w:p>
        </w:tc>
        <w:tc>
          <w:tcPr>
            <w:tcW w:type="dxa" w:w="1440"/>
          </w:tcPr>
          <w:p>
            <w:r>
              <w:rPr>
                <w:rFonts w:ascii="Calibri" w:hAnsi="Calibri"/>
                <w:sz w:val="22"/>
              </w:rPr>
              <w:t>$11.27B ¹</w:t>
            </w:r>
          </w:p>
        </w:tc>
        <w:tc>
          <w:tcPr>
            <w:tcW w:type="dxa" w:w="1440"/>
          </w:tcPr>
          <w:p>
            <w:r>
              <w:rPr>
                <w:rFonts w:ascii="Calibri" w:hAnsi="Calibri"/>
                <w:sz w:val="22"/>
              </w:rPr>
              <w:t>$10.75B ¹</w:t>
            </w:r>
          </w:p>
        </w:tc>
        <w:tc>
          <w:tcPr>
            <w:tcW w:type="dxa" w:w="1440"/>
          </w:tcPr>
          <w:p>
            <w:r>
              <w:rPr>
                <w:rFonts w:ascii="Calibri" w:hAnsi="Calibri"/>
                <w:b/>
                <w:color w:val="30A46C"/>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Non-GAAP EPS</w:t>
            </w:r>
          </w:p>
        </w:tc>
        <w:tc>
          <w:tcPr>
            <w:tcW w:type="dxa" w:w="1440"/>
          </w:tcPr>
          <w:p>
            <w:r>
              <w:rPr>
                <w:rFonts w:ascii="Calibri" w:hAnsi="Calibri"/>
                <w:sz w:val="22"/>
              </w:rPr>
              <w:t>$3.00 ¹</w:t>
            </w:r>
          </w:p>
        </w:tc>
        <w:tc>
          <w:tcPr>
            <w:tcW w:type="dxa" w:w="1440"/>
          </w:tcPr>
          <w:p>
            <w:r>
              <w:rPr>
                <w:rFonts w:ascii="Calibri" w:hAnsi="Calibri"/>
                <w:sz w:val="22"/>
              </w:rPr>
              <w:t>$2.87 ¹</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Revenue</w:t>
            </w:r>
          </w:p>
        </w:tc>
        <w:tc>
          <w:tcPr>
            <w:tcW w:type="dxa" w:w="1440"/>
          </w:tcPr>
          <w:p>
            <w:r>
              <w:rPr>
                <w:rFonts w:ascii="Calibri" w:hAnsi="Calibri"/>
                <w:sz w:val="22"/>
              </w:rPr>
              <w:t>$12.25B ¹</w:t>
            </w:r>
          </w:p>
        </w:tc>
        <w:tc>
          <w:tcPr>
            <w:tcW w:type="dxa" w:w="1440"/>
          </w:tcPr>
          <w:p>
            <w:r>
              <w:rPr>
                <w:rFonts w:ascii="Calibri" w:hAnsi="Calibri"/>
                <w:sz w:val="22"/>
              </w:rPr>
              <w:t>$12.21B ¹</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Non-GAAP EPS</w:t>
            </w:r>
          </w:p>
        </w:tc>
        <w:tc>
          <w:tcPr>
            <w:tcW w:type="dxa" w:w="1440"/>
          </w:tcPr>
          <w:p>
            <w:r>
              <w:rPr>
                <w:rFonts w:ascii="Calibri" w:hAnsi="Calibri"/>
                <w:sz w:val="22"/>
              </w:rPr>
              <w:t>$3.50 ¹</w:t>
            </w:r>
          </w:p>
        </w:tc>
        <w:tc>
          <w:tcPr>
            <w:tcW w:type="dxa" w:w="1440"/>
          </w:tcPr>
          <w:p>
            <w:r>
              <w:rPr>
                <w:rFonts w:ascii="Calibri" w:hAnsi="Calibri"/>
                <w:sz w:val="22"/>
              </w:rPr>
              <w:t>$3.41 ¹</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Revenue</w:t>
            </w:r>
          </w:p>
        </w:tc>
        <w:tc>
          <w:tcPr>
            <w:tcW w:type="dxa" w:w="1440"/>
          </w:tcPr>
          <w:p>
            <w:r>
              <w:rPr>
                <w:rFonts w:ascii="Calibri" w:hAnsi="Calibri"/>
                <w:sz w:val="22"/>
              </w:rPr>
              <w:t>$10.60B ¹</w:t>
            </w:r>
          </w:p>
        </w:tc>
        <w:tc>
          <w:tcPr>
            <w:tcW w:type="dxa" w:w="1440"/>
          </w:tcPr>
          <w:p>
            <w:r>
              <w:rPr>
                <w:rFonts w:ascii="Calibri" w:hAnsi="Calibri"/>
                <w:sz w:val="22"/>
              </w:rPr>
              <w:t>$10.58B ¹</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Non-GAAP EPS</w:t>
            </w:r>
          </w:p>
        </w:tc>
        <w:tc>
          <w:tcPr>
            <w:tcW w:type="dxa" w:w="1440"/>
          </w:tcPr>
          <w:p>
            <w:r>
              <w:rPr>
                <w:rFonts w:ascii="Calibri" w:hAnsi="Calibri"/>
                <w:sz w:val="22"/>
              </w:rPr>
              <w:t>$2.65 ¹</w:t>
            </w:r>
          </w:p>
        </w:tc>
        <w:tc>
          <w:tcPr>
            <w:tcW w:type="dxa" w:w="1440"/>
          </w:tcPr>
          <w:p>
            <w:r>
              <w:rPr>
                <w:rFonts w:ascii="Calibri" w:hAnsi="Calibri"/>
                <w:sz w:val="22"/>
              </w:rPr>
              <w:t>$2.56 ¹</w:t>
            </w:r>
          </w:p>
        </w:tc>
        <w:tc>
          <w:tcPr>
            <w:tcW w:type="dxa" w:w="1440"/>
          </w:tcPr>
          <w:p>
            <w:r>
              <w:rPr>
                <w:rFonts w:ascii="Calibri" w:hAnsi="Calibri"/>
                <w:b/>
                <w:color w:val="30A46C"/>
                <w:sz w:val="22"/>
              </w:rPr>
              <w:t>+3.5%</w:t>
            </w:r>
          </w:p>
        </w:tc>
        <w:tc>
          <w:tcPr>
            <w:tcW w:type="dxa" w:w="1440"/>
          </w:tcPr>
          <w:p>
            <w:r>
              <w:rPr>
                <w:rFonts w:ascii="Calibri" w:hAnsi="Calibri"/>
                <w:b/>
                <w:color w:val="30A46C"/>
                <w:sz w:val="22"/>
              </w:rPr>
              <w:t>Beat</w:t>
            </w:r>
          </w:p>
        </w:tc>
      </w:tr>
    </w:tbl>
    <w:p>
      <w:r>
        <w:rPr>
          <w:rFonts w:ascii="Calibri" w:hAnsi="Calibri"/>
          <w:i/>
          <w:color w:val="525866"/>
          <w:sz w:val="22"/>
        </w:rPr>
        <w:t>¹ Source: Visible Alpha Consensus and Actuals Data</w:t>
      </w:r>
    </w:p>
    <w:p>
      <w:r>
        <w:rPr>
          <w:rFonts w:ascii="Calibri" w:hAnsi="Calibri"/>
          <w:b/>
          <w:color w:val="525866"/>
          <w:sz w:val="22"/>
        </w:rPr>
        <w:t xml:space="preserve">Pattern: </w:t>
      </w:r>
      <w:r>
        <w:rPr>
          <w:rFonts w:ascii="Calibri" w:hAnsi="Calibri"/>
          <w:color w:val="525866"/>
          <w:sz w:val="22"/>
        </w:rPr>
        <w:t>QCOM has beaten consensus on both revenue and non-GAAP EPS in every one of the last seven reported quarters, with EPS beats averaging ~5% and revenue beats averaging ~2–3%; the consistent beat pattern sets a high behavioral bar even against a low absolute guidance level heading into Q3 FY2026.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29 earnings call, but the June 24 Investor Day materially upgraded the long-term financial framework — the FY2029 revenue target doubled to $40B and data-center revenue was pulled forward to FY2026 — shifting tone from cautious to structurally bullish without changing the near-term Q3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29,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Total Revenue</w:t>
            </w:r>
          </w:p>
        </w:tc>
        <w:tc>
          <w:tcPr>
            <w:tcW w:type="dxa" w:w="1728"/>
          </w:tcPr>
          <w:p>
            <w:r>
              <w:rPr>
                <w:rFonts w:ascii="Calibri" w:hAnsi="Calibri"/>
                <w:sz w:val="22"/>
              </w:rPr>
              <w:t>$9.2B – $10.0B</w:t>
            </w:r>
          </w:p>
        </w:tc>
        <w:tc>
          <w:tcPr>
            <w:tcW w:type="dxa" w:w="1728"/>
          </w:tcPr>
          <w:p>
            <w:r>
              <w:rPr>
                <w:rFonts w:ascii="Calibri" w:hAnsi="Calibri"/>
                <w:sz w:val="22"/>
              </w:rPr>
              <w:t>—</w:t>
            </w:r>
          </w:p>
        </w:tc>
        <w:tc>
          <w:tcPr>
            <w:tcW w:type="dxa" w:w="1728"/>
          </w:tcPr>
          <w:p>
            <w:r>
              <w:rPr>
                <w:rFonts w:ascii="Calibri" w:hAnsi="Calibri"/>
                <w:sz w:val="22"/>
              </w:rPr>
              <w:t>$9.66B ¹</w:t>
            </w:r>
          </w:p>
        </w:tc>
        <w:tc>
          <w:tcPr>
            <w:tcW w:type="dxa" w:w="1728"/>
          </w:tcPr>
          <w:p>
            <w:r>
              <w:rPr>
                <w:rFonts w:ascii="Calibri" w:hAnsi="Calibri"/>
                <w:sz w:val="22"/>
              </w:rPr>
              <w:t>No post-earnings revision; consensus sits ~$60M above midpoint</w:t>
            </w:r>
          </w:p>
        </w:tc>
      </w:tr>
      <w:tr>
        <w:tc>
          <w:tcPr>
            <w:tcW w:type="dxa" w:w="1728"/>
          </w:tcPr>
          <w:p>
            <w:r>
              <w:rPr>
                <w:rFonts w:ascii="Calibri" w:hAnsi="Calibri"/>
                <w:sz w:val="22"/>
              </w:rPr>
              <w:t>Q3 FY2026 Non-GAAP EPS</w:t>
            </w:r>
          </w:p>
        </w:tc>
        <w:tc>
          <w:tcPr>
            <w:tcW w:type="dxa" w:w="1728"/>
          </w:tcPr>
          <w:p>
            <w:r>
              <w:rPr>
                <w:rFonts w:ascii="Calibri" w:hAnsi="Calibri"/>
                <w:sz w:val="22"/>
              </w:rPr>
              <w:t>$2.10 – $2.30</w:t>
            </w:r>
          </w:p>
        </w:tc>
        <w:tc>
          <w:tcPr>
            <w:tcW w:type="dxa" w:w="1728"/>
          </w:tcPr>
          <w:p>
            <w:r>
              <w:rPr>
                <w:rFonts w:ascii="Calibri" w:hAnsi="Calibri"/>
                <w:sz w:val="22"/>
              </w:rPr>
              <w:t>—</w:t>
            </w:r>
          </w:p>
        </w:tc>
        <w:tc>
          <w:tcPr>
            <w:tcW w:type="dxa" w:w="1728"/>
          </w:tcPr>
          <w:p>
            <w:r>
              <w:rPr>
                <w:rFonts w:ascii="Calibri" w:hAnsi="Calibri"/>
                <w:sz w:val="22"/>
              </w:rPr>
              <w:t>$2.23 ¹</w:t>
            </w:r>
          </w:p>
        </w:tc>
        <w:tc>
          <w:tcPr>
            <w:tcW w:type="dxa" w:w="1728"/>
          </w:tcPr>
          <w:p>
            <w:r>
              <w:rPr>
                <w:rFonts w:ascii="Calibri" w:hAnsi="Calibri"/>
                <w:sz w:val="22"/>
              </w:rPr>
              <w:t>No post-earnings revision; consensus ~$0.03 above midpoint</w:t>
            </w:r>
          </w:p>
        </w:tc>
      </w:tr>
      <w:tr>
        <w:tc>
          <w:tcPr>
            <w:tcW w:type="dxa" w:w="1728"/>
          </w:tcPr>
          <w:p>
            <w:r>
              <w:rPr>
                <w:rFonts w:ascii="Calibri" w:hAnsi="Calibri"/>
                <w:sz w:val="22"/>
              </w:rPr>
              <w:t>Q3 FY2026 QCT Revenue</w:t>
            </w:r>
          </w:p>
        </w:tc>
        <w:tc>
          <w:tcPr>
            <w:tcW w:type="dxa" w:w="1728"/>
          </w:tcPr>
          <w:p>
            <w:r>
              <w:rPr>
                <w:rFonts w:ascii="Calibri" w:hAnsi="Calibri"/>
                <w:sz w:val="22"/>
              </w:rPr>
              <w:t>$7.9B – $8.5B</w:t>
            </w:r>
          </w:p>
        </w:tc>
        <w:tc>
          <w:tcPr>
            <w:tcW w:type="dxa" w:w="1728"/>
          </w:tcPr>
          <w:p>
            <w:r>
              <w:rPr>
                <w:rFonts w:ascii="Calibri" w:hAnsi="Calibri"/>
                <w:sz w:val="22"/>
              </w:rPr>
              <w:t>—</w:t>
            </w:r>
          </w:p>
        </w:tc>
        <w:tc>
          <w:tcPr>
            <w:tcW w:type="dxa" w:w="1728"/>
          </w:tcPr>
          <w:p>
            <w:r>
              <w:rPr>
                <w:rFonts w:ascii="Calibri" w:hAnsi="Calibri"/>
                <w:sz w:val="22"/>
              </w:rPr>
              <w:t>N/A — not in VA at QCT total level</w:t>
            </w:r>
          </w:p>
        </w:tc>
        <w:tc>
          <w:tcPr>
            <w:tcW w:type="dxa" w:w="1728"/>
          </w:tcPr>
          <w:p>
            <w:r>
              <w:rPr>
                <w:rFonts w:ascii="Calibri" w:hAnsi="Calibri"/>
                <w:sz w:val="22"/>
              </w:rPr>
              <w:t>No change; handset guided ~$4.9B, auto ~+50% YoY, IoT high-single-digit YoY</w:t>
            </w:r>
          </w:p>
        </w:tc>
      </w:tr>
      <w:tr>
        <w:tc>
          <w:tcPr>
            <w:tcW w:type="dxa" w:w="1728"/>
          </w:tcPr>
          <w:p>
            <w:r>
              <w:rPr>
                <w:rFonts w:ascii="Calibri" w:hAnsi="Calibri"/>
                <w:sz w:val="22"/>
              </w:rPr>
              <w:t>Q3 FY2026 QCT EBT Margin</w:t>
            </w:r>
          </w:p>
        </w:tc>
        <w:tc>
          <w:tcPr>
            <w:tcW w:type="dxa" w:w="1728"/>
          </w:tcPr>
          <w:p>
            <w:r>
              <w:rPr>
                <w:rFonts w:ascii="Calibri" w:hAnsi="Calibri"/>
                <w:sz w:val="22"/>
              </w:rPr>
              <w:t>25% – 27%</w:t>
            </w:r>
          </w:p>
        </w:tc>
        <w:tc>
          <w:tcPr>
            <w:tcW w:type="dxa" w:w="1728"/>
          </w:tcPr>
          <w:p>
            <w:r>
              <w:rPr>
                <w:rFonts w:ascii="Calibri" w:hAnsi="Calibri"/>
                <w:sz w:val="22"/>
              </w:rPr>
              <w:t>—</w:t>
            </w:r>
          </w:p>
        </w:tc>
        <w:tc>
          <w:tcPr>
            <w:tcW w:type="dxa" w:w="1728"/>
          </w:tcPr>
          <w:p>
            <w:r>
              <w:rPr>
                <w:rFonts w:ascii="Calibri" w:hAnsi="Calibri"/>
                <w:sz w:val="22"/>
              </w:rPr>
              <w:t>25.9% ¹</w:t>
            </w:r>
          </w:p>
        </w:tc>
        <w:tc>
          <w:tcPr>
            <w:tcW w:type="dxa" w:w="1728"/>
          </w:tcPr>
          <w:p>
            <w:r>
              <w:rPr>
                <w:rFonts w:ascii="Calibri" w:hAnsi="Calibri"/>
                <w:sz w:val="22"/>
              </w:rPr>
              <w:t>No change; consensus near midpoint of guided range</w:t>
            </w:r>
          </w:p>
        </w:tc>
      </w:tr>
      <w:tr>
        <w:tc>
          <w:tcPr>
            <w:tcW w:type="dxa" w:w="1728"/>
          </w:tcPr>
          <w:p>
            <w:r>
              <w:rPr>
                <w:rFonts w:ascii="Calibri" w:hAnsi="Calibri"/>
                <w:sz w:val="22"/>
              </w:rPr>
              <w:t>Q3 FY2026 QTL Revenue</w:t>
            </w:r>
          </w:p>
        </w:tc>
        <w:tc>
          <w:tcPr>
            <w:tcW w:type="dxa" w:w="1728"/>
          </w:tcPr>
          <w:p>
            <w:r>
              <w:rPr>
                <w:rFonts w:ascii="Calibri" w:hAnsi="Calibri"/>
                <w:sz w:val="22"/>
              </w:rPr>
              <w:t>$1.15B – $1.35B; EBT margin 67%–71%</w:t>
            </w:r>
          </w:p>
        </w:tc>
        <w:tc>
          <w:tcPr>
            <w:tcW w:type="dxa" w:w="1728"/>
          </w:tcPr>
          <w:p>
            <w:r>
              <w:rPr>
                <w:rFonts w:ascii="Calibri" w:hAnsi="Calibri"/>
                <w:sz w:val="22"/>
              </w:rPr>
              <w:t>—</w:t>
            </w:r>
          </w:p>
        </w:tc>
        <w:tc>
          <w:tcPr>
            <w:tcW w:type="dxa" w:w="1728"/>
          </w:tcPr>
          <w:p>
            <w:r>
              <w:rPr>
                <w:rFonts w:ascii="Calibri" w:hAnsi="Calibri"/>
                <w:sz w:val="22"/>
              </w:rPr>
              <w:t>N/A — not in VA at QTL level</w:t>
            </w:r>
          </w:p>
        </w:tc>
        <w:tc>
          <w:tcPr>
            <w:tcW w:type="dxa" w:w="1728"/>
          </w:tcPr>
          <w:p>
            <w:r>
              <w:rPr>
                <w:rFonts w:ascii="Calibri" w:hAnsi="Calibri"/>
                <w:sz w:val="22"/>
              </w:rPr>
              <w:t>No change; sequential decline expected due to weaker low-tier handset units</w:t>
            </w:r>
          </w:p>
        </w:tc>
      </w:tr>
      <w:tr>
        <w:tc>
          <w:tcPr>
            <w:tcW w:type="dxa" w:w="1728"/>
          </w:tcPr>
          <w:p>
            <w:r>
              <w:rPr>
                <w:rFonts w:ascii="Calibri" w:hAnsi="Calibri"/>
                <w:sz w:val="22"/>
              </w:rPr>
              <w:t>FY2029 Non-Handset Revenue Target</w:t>
            </w:r>
          </w:p>
        </w:tc>
        <w:tc>
          <w:tcPr>
            <w:tcW w:type="dxa" w:w="1728"/>
          </w:tcPr>
          <w:p>
            <w:r>
              <w:rPr>
                <w:rFonts w:ascii="Calibri" w:hAnsi="Calibri"/>
                <w:sz w:val="22"/>
              </w:rPr>
              <w:t>$22B (prior Investor Day target)</w:t>
            </w:r>
          </w:p>
        </w:tc>
        <w:tc>
          <w:tcPr>
            <w:tcW w:type="dxa" w:w="1728"/>
          </w:tcPr>
          <w:p>
            <w:r>
              <w:rPr>
                <w:rFonts w:ascii="Calibri" w:hAnsi="Calibri"/>
                <w:sz w:val="22"/>
              </w:rPr>
              <w:t>↑ Raised to $40B at June 24 Investor Day</w:t>
            </w:r>
          </w:p>
        </w:tc>
        <w:tc>
          <w:tcPr>
            <w:tcW w:type="dxa" w:w="1728"/>
          </w:tcPr>
          <w:p>
            <w:r>
              <w:rPr>
                <w:rFonts w:ascii="Calibri" w:hAnsi="Calibri"/>
                <w:sz w:val="22"/>
              </w:rPr>
              <w:t>N/A — FY2029 not in VA consensus</w:t>
            </w:r>
          </w:p>
        </w:tc>
        <w:tc>
          <w:tcPr>
            <w:tcW w:type="dxa" w:w="1728"/>
          </w:tcPr>
          <w:p>
            <w:r>
              <w:rPr>
                <w:rFonts w:ascii="Calibri" w:hAnsi="Calibri"/>
                <w:sz w:val="22"/>
              </w:rPr>
              <w:t>↑ Raised at Investor Day June 24, 2026; nearly 2x increase; implies 40% CAGR FY2025–FY2029; more confident on diversification execution</w:t>
            </w:r>
          </w:p>
        </w:tc>
      </w:tr>
      <w:tr>
        <w:tc>
          <w:tcPr>
            <w:tcW w:type="dxa" w:w="1728"/>
          </w:tcPr>
          <w:p>
            <w:r>
              <w:rPr>
                <w:rFonts w:ascii="Calibri" w:hAnsi="Calibri"/>
                <w:sz w:val="22"/>
              </w:rPr>
              <w:t>FY2029 Non-GAAP EPS Target</w:t>
            </w:r>
          </w:p>
        </w:tc>
        <w:tc>
          <w:tcPr>
            <w:tcW w:type="dxa" w:w="1728"/>
          </w:tcPr>
          <w:p>
            <w:r>
              <w:rPr>
                <w:rFonts w:ascii="Calibri" w:hAnsi="Calibri"/>
                <w:sz w:val="22"/>
              </w:rPr>
              <w:t>Not previously disclosed at this level</w:t>
            </w:r>
          </w:p>
        </w:tc>
        <w:tc>
          <w:tcPr>
            <w:tcW w:type="dxa" w:w="1728"/>
          </w:tcPr>
          <w:p>
            <w:r>
              <w:rPr>
                <w:rFonts w:ascii="Calibri" w:hAnsi="Calibri"/>
                <w:sz w:val="22"/>
              </w:rPr>
              <w:t>↑ &gt;$18.00 disclosed at June 24 Investor Day</w:t>
            </w:r>
          </w:p>
        </w:tc>
        <w:tc>
          <w:tcPr>
            <w:tcW w:type="dxa" w:w="1728"/>
          </w:tcPr>
          <w:p>
            <w:r>
              <w:rPr>
                <w:rFonts w:ascii="Calibri" w:hAnsi="Calibri"/>
                <w:sz w:val="22"/>
              </w:rPr>
              <w:t>N/A</w:t>
            </w:r>
          </w:p>
        </w:tc>
        <w:tc>
          <w:tcPr>
            <w:tcW w:type="dxa" w:w="1728"/>
          </w:tcPr>
          <w:p>
            <w:r>
              <w:rPr>
                <w:rFonts w:ascii="Calibri" w:hAnsi="Calibri"/>
                <w:sz w:val="22"/>
              </w:rPr>
              <w:t>↑ New target set at Investor Day June 24, 2026; signals high confidence in margin expansion alongside revenue diversification</w:t>
            </w:r>
          </w:p>
        </w:tc>
      </w:tr>
      <w:tr>
        <w:tc>
          <w:tcPr>
            <w:tcW w:type="dxa" w:w="1728"/>
          </w:tcPr>
          <w:p>
            <w:r>
              <w:rPr>
                <w:rFonts w:ascii="Calibri" w:hAnsi="Calibri"/>
                <w:sz w:val="22"/>
              </w:rPr>
              <w:t>Data Center Revenue (FY2027)</w:t>
            </w:r>
          </w:p>
        </w:tc>
        <w:tc>
          <w:tcPr>
            <w:tcW w:type="dxa" w:w="1728"/>
          </w:tcPr>
          <w:p>
            <w:r>
              <w:rPr>
                <w:rFonts w:ascii="Calibri" w:hAnsi="Calibri"/>
                <w:sz w:val="22"/>
              </w:rPr>
              <w:t>"Material" (multiple billions) — stated at Bernstein Conference May 27</w:t>
            </w:r>
          </w:p>
        </w:tc>
        <w:tc>
          <w:tcPr>
            <w:tcW w:type="dxa" w:w="1728"/>
          </w:tcPr>
          <w:p>
            <w:r>
              <w:rPr>
                <w:rFonts w:ascii="Calibri" w:hAnsi="Calibri"/>
                <w:sz w:val="22"/>
              </w:rPr>
              <w:t>↑ $5B target for FY2027 disclosed at June 24 Investor Day; two hyperscaler customers at global scale driving ≥1B within year</w:t>
            </w:r>
          </w:p>
        </w:tc>
        <w:tc>
          <w:tcPr>
            <w:tcW w:type="dxa" w:w="1728"/>
          </w:tcPr>
          <w:p>
            <w:r>
              <w:rPr>
                <w:rFonts w:ascii="Calibri" w:hAnsi="Calibri"/>
                <w:sz w:val="22"/>
              </w:rPr>
              <w:t>N/A — FY2027 data center not in VA consensus</w:t>
            </w:r>
          </w:p>
        </w:tc>
        <w:tc>
          <w:tcPr>
            <w:tcW w:type="dxa" w:w="1728"/>
          </w:tcPr>
          <w:p>
            <w:r>
              <w:rPr>
                <w:rFonts w:ascii="Calibri" w:hAnsi="Calibri"/>
                <w:sz w:val="22"/>
              </w:rPr>
              <w:t>↑ Raised at Investor Day June 24, 2026; Microsoft (Azure CPU deployment) and Meta (multi-gen CPU supply) named; second hyperscaler custom-silicon win announced</w:t>
            </w:r>
          </w:p>
        </w:tc>
      </w:tr>
      <w:tr>
        <w:tc>
          <w:tcPr>
            <w:tcW w:type="dxa" w:w="1728"/>
          </w:tcPr>
          <w:p>
            <w:r>
              <w:rPr>
                <w:rFonts w:ascii="Calibri" w:hAnsi="Calibri"/>
                <w:sz w:val="22"/>
              </w:rPr>
              <w:t>Automotive Revenue (FY2026 Exit Rate)</w:t>
            </w:r>
          </w:p>
        </w:tc>
        <w:tc>
          <w:tcPr>
            <w:tcW w:type="dxa" w:w="1728"/>
          </w:tcPr>
          <w:p>
            <w:r>
              <w:rPr>
                <w:rFonts w:ascii="Calibri" w:hAnsi="Calibri"/>
                <w:sz w:val="22"/>
              </w:rPr>
              <w:t>&gt;$6B annualized exit rate for FY2026</w:t>
            </w:r>
          </w:p>
        </w:tc>
        <w:tc>
          <w:tcPr>
            <w:tcW w:type="dxa" w:w="1728"/>
          </w:tcPr>
          <w:p>
            <w:r>
              <w:rPr>
                <w:rFonts w:ascii="Calibri" w:hAnsi="Calibri"/>
                <w:sz w:val="22"/>
              </w:rPr>
              <w:t>↑ $10B FY2029 target raised at June 24 Investor Day (from prior $8B); design-win pipeline expanded to $65B</w:t>
            </w:r>
          </w:p>
        </w:tc>
        <w:tc>
          <w:tcPr>
            <w:tcW w:type="dxa" w:w="1728"/>
          </w:tcPr>
          <w:p>
            <w:r>
              <w:rPr>
                <w:rFonts w:ascii="Calibri" w:hAnsi="Calibri"/>
                <w:sz w:val="22"/>
              </w:rPr>
              <w:t>$5.46B FY2026 consensus ¹</w:t>
            </w:r>
          </w:p>
        </w:tc>
        <w:tc>
          <w:tcPr>
            <w:tcW w:type="dxa" w:w="1728"/>
          </w:tcPr>
          <w:p>
            <w:r>
              <w:rPr>
                <w:rFonts w:ascii="Calibri" w:hAnsi="Calibri"/>
                <w:sz w:val="22"/>
              </w:rPr>
              <w:t>↑ Raised at Investor Day June 24, 2026; 23 consecutive quarters of double-digit YoY growth; Stellantis adopting full Snapdragon Digital Chassis</w:t>
            </w:r>
          </w:p>
        </w:tc>
      </w:tr>
      <w:tr>
        <w:tc>
          <w:tcPr>
            <w:tcW w:type="dxa" w:w="1728"/>
          </w:tcPr>
          <w:p>
            <w:r>
              <w:rPr>
                <w:rFonts w:ascii="Calibri" w:hAnsi="Calibri"/>
                <w:sz w:val="22"/>
              </w:rPr>
              <w:t>China Android Handset Bottom</w:t>
            </w:r>
          </w:p>
        </w:tc>
        <w:tc>
          <w:tcPr>
            <w:tcW w:type="dxa" w:w="1728"/>
          </w:tcPr>
          <w:p>
            <w:r>
              <w:rPr>
                <w:rFonts w:ascii="Calibri" w:hAnsi="Calibri"/>
                <w:sz w:val="22"/>
              </w:rPr>
              <w:t>Q3 FY2026 called as bottom; sequential recovery in Q4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has visibility via QTL licensing sell-through data; premium/high-tier holding, weakness in mid-low tier</w:t>
            </w:r>
          </w:p>
        </w:tc>
      </w:tr>
    </w:tbl>
    <w:p>
      <w:r>
        <w:rPr>
          <w:rFonts w:ascii="Calibri" w:hAnsi="Calibri"/>
          <w:i/>
          <w:color w:val="525866"/>
          <w:sz w:val="22"/>
        </w:rPr>
        <w:t>¹ 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April 29 print — Q3 FY2026 revenue consensus is essentially flat vs. the post-print baseline, and FY2026 full-year estimates have edged slightly higher — suggesting the Street has absorbed the guidance miss and is now anchored to the recovery narrative rather than pricing in further downside. </w:t>
      </w:r>
      <w:r>
        <w:rPr>
          <w:rFonts w:ascii="Calibri" w:hAnsi="Calibri"/>
          <w:b/>
          <w:color w:val="525866"/>
          <w:sz w:val="22"/>
        </w:rPr>
        <w:t>FY2027 estimates have drifted modestly higher, reflecting early data-center revenue credit.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6, 2026 (Post-Print Baseline)</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(April 29 Call)</w:t>
            </w:r>
          </w:p>
        </w:tc>
        <w:tc>
          <w:tcPr>
            <w:tcW w:type="dxa" w:w="1080"/>
            <w:shd w:val="clear" w:color="auto" w:fill="3B4259"/>
          </w:tcPr>
          <w:p>
            <w:r>
              <w:rPr>
                <w:rFonts w:ascii="Calibri" w:hAnsi="Calibri"/>
                <w:b/>
                <w:color w:val="FFFFFF"/>
                <w:sz w:val="22"/>
              </w:rPr>
              <w:t>Current Guidance / Target</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Q3 FY2026</w:t>
            </w:r>
          </w:p>
        </w:tc>
        <w:tc>
          <w:tcPr>
            <w:tcW w:type="dxa" w:w="1080"/>
          </w:tcPr>
          <w:p>
            <w:r>
              <w:rPr>
                <w:rFonts w:ascii="Calibri" w:hAnsi="Calibri"/>
                <w:sz w:val="22"/>
              </w:rPr>
              <w:t>$9.62B ¹</w:t>
            </w:r>
          </w:p>
        </w:tc>
        <w:tc>
          <w:tcPr>
            <w:tcW w:type="dxa" w:w="1080"/>
          </w:tcPr>
          <w:p>
            <w:r>
              <w:rPr>
                <w:rFonts w:ascii="Calibri" w:hAnsi="Calibri"/>
                <w:sz w:val="22"/>
              </w:rPr>
              <w:t>$9.66B ¹</w:t>
            </w:r>
          </w:p>
        </w:tc>
        <w:tc>
          <w:tcPr>
            <w:tcW w:type="dxa" w:w="1080"/>
          </w:tcPr>
          <w:p>
            <w:r>
              <w:rPr>
                <w:rFonts w:ascii="Calibri" w:hAnsi="Calibri"/>
                <w:sz w:val="22"/>
              </w:rPr>
              <w:t>+0.4%</w:t>
            </w:r>
          </w:p>
        </w:tc>
        <w:tc>
          <w:tcPr>
            <w:tcW w:type="dxa" w:w="1080"/>
          </w:tcPr>
          <w:p>
            <w:r>
              <w:rPr>
                <w:rFonts w:ascii="Calibri" w:hAnsi="Calibri"/>
                <w:sz w:val="22"/>
              </w:rPr>
              <w:t>$9.2B–$10.0B (mid: $9.6B)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midpoint</w:t>
            </w:r>
          </w:p>
        </w:tc>
      </w:tr>
      <w:tr>
        <w:tc>
          <w:tcPr>
            <w:tcW w:type="dxa" w:w="1080"/>
          </w:tcPr>
          <w:p>
            <w:r>
              <w:rPr>
                <w:rFonts w:ascii="Calibri" w:hAnsi="Calibri"/>
                <w:sz w:val="22"/>
              </w:rPr>
              <w:t>Non-GAAP EPS — Q3 FY2026</w:t>
            </w:r>
          </w:p>
        </w:tc>
        <w:tc>
          <w:tcPr>
            <w:tcW w:type="dxa" w:w="1080"/>
          </w:tcPr>
          <w:p>
            <w:r>
              <w:rPr>
                <w:rFonts w:ascii="Calibri" w:hAnsi="Calibri"/>
                <w:sz w:val="22"/>
              </w:rPr>
              <w:t>$2.20 ¹</w:t>
            </w:r>
          </w:p>
        </w:tc>
        <w:tc>
          <w:tcPr>
            <w:tcW w:type="dxa" w:w="1080"/>
          </w:tcPr>
          <w:p>
            <w:r>
              <w:rPr>
                <w:rFonts w:ascii="Calibri" w:hAnsi="Calibri"/>
                <w:sz w:val="22"/>
              </w:rPr>
              <w:t>$2.23 ¹</w:t>
            </w:r>
          </w:p>
        </w:tc>
        <w:tc>
          <w:tcPr>
            <w:tcW w:type="dxa" w:w="1080"/>
          </w:tcPr>
          <w:p>
            <w:r>
              <w:rPr>
                <w:rFonts w:ascii="Calibri" w:hAnsi="Calibri"/>
                <w:sz w:val="22"/>
              </w:rPr>
              <w:t>+1.4%</w:t>
            </w:r>
          </w:p>
        </w:tc>
        <w:tc>
          <w:tcPr>
            <w:tcW w:type="dxa" w:w="1080"/>
          </w:tcPr>
          <w:p>
            <w:r>
              <w:rPr>
                <w:rFonts w:ascii="Calibri" w:hAnsi="Calibri"/>
                <w:sz w:val="22"/>
              </w:rPr>
              <w:t>$2.10–$2.30 (mid: $2.20)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vs. midpoint</w:t>
            </w:r>
          </w:p>
        </w:tc>
      </w:tr>
      <w:tr>
        <w:tc>
          <w:tcPr>
            <w:tcW w:type="dxa" w:w="1080"/>
          </w:tcPr>
          <w:p>
            <w:r>
              <w:rPr>
                <w:rFonts w:ascii="Calibri" w:hAnsi="Calibri"/>
                <w:sz w:val="22"/>
              </w:rPr>
              <w:t>Handset Revenue — Q3 FY2026</w:t>
            </w:r>
          </w:p>
        </w:tc>
        <w:tc>
          <w:tcPr>
            <w:tcW w:type="dxa" w:w="1080"/>
          </w:tcPr>
          <w:p>
            <w:r>
              <w:rPr>
                <w:rFonts w:ascii="Calibri" w:hAnsi="Calibri"/>
                <w:sz w:val="22"/>
              </w:rPr>
              <w:t>$4.92B ¹</w:t>
            </w:r>
          </w:p>
        </w:tc>
        <w:tc>
          <w:tcPr>
            <w:tcW w:type="dxa" w:w="1080"/>
          </w:tcPr>
          <w:p>
            <w:r>
              <w:rPr>
                <w:rFonts w:ascii="Calibri" w:hAnsi="Calibri"/>
                <w:sz w:val="22"/>
              </w:rPr>
              <w:t>$4.96B ¹</w:t>
            </w:r>
          </w:p>
        </w:tc>
        <w:tc>
          <w:tcPr>
            <w:tcW w:type="dxa" w:w="1080"/>
          </w:tcPr>
          <w:p>
            <w:r>
              <w:rPr>
                <w:rFonts w:ascii="Calibri" w:hAnsi="Calibri"/>
                <w:sz w:val="22"/>
              </w:rPr>
              <w:t>+0.8%</w:t>
            </w:r>
          </w:p>
        </w:tc>
        <w:tc>
          <w:tcPr>
            <w:tcW w:type="dxa" w:w="1080"/>
          </w:tcPr>
          <w:p>
            <w:r>
              <w:rPr>
                <w:rFonts w:ascii="Calibri" w:hAnsi="Calibri"/>
                <w:sz w:val="22"/>
              </w:rPr>
              <w:t>~$4.9B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vs. guidance</w:t>
            </w:r>
          </w:p>
        </w:tc>
      </w:tr>
      <w:tr>
        <w:tc>
          <w:tcPr>
            <w:tcW w:type="dxa" w:w="1080"/>
          </w:tcPr>
          <w:p>
            <w:r>
              <w:rPr>
                <w:rFonts w:ascii="Calibri" w:hAnsi="Calibri"/>
                <w:sz w:val="22"/>
              </w:rPr>
              <w:t>Automotive Revenue — Q3 FY2026</w:t>
            </w:r>
          </w:p>
        </w:tc>
        <w:tc>
          <w:tcPr>
            <w:tcW w:type="dxa" w:w="1080"/>
          </w:tcPr>
          <w:p>
            <w:r>
              <w:rPr>
                <w:rFonts w:ascii="Calibri" w:hAnsi="Calibri"/>
                <w:sz w:val="22"/>
              </w:rPr>
              <w:t>$1.48B ¹</w:t>
            </w:r>
          </w:p>
        </w:tc>
        <w:tc>
          <w:tcPr>
            <w:tcW w:type="dxa" w:w="1080"/>
          </w:tcPr>
          <w:p>
            <w:r>
              <w:rPr>
                <w:rFonts w:ascii="Calibri" w:hAnsi="Calibri"/>
                <w:sz w:val="22"/>
              </w:rPr>
              <w:t>$1.48B ¹</w:t>
            </w:r>
          </w:p>
        </w:tc>
        <w:tc>
          <w:tcPr>
            <w:tcW w:type="dxa" w:w="1080"/>
          </w:tcPr>
          <w:p>
            <w:r>
              <w:rPr>
                <w:rFonts w:ascii="Calibri" w:hAnsi="Calibri"/>
                <w:sz w:val="22"/>
              </w:rPr>
              <w:t>0.0%</w:t>
            </w:r>
          </w:p>
        </w:tc>
        <w:tc>
          <w:tcPr>
            <w:tcW w:type="dxa" w:w="1080"/>
          </w:tcPr>
          <w:p>
            <w:r>
              <w:rPr>
                <w:rFonts w:ascii="Calibri" w:hAnsi="Calibri"/>
                <w:sz w:val="22"/>
              </w:rPr>
              <w:t>~+50% YoY (implied ~$1.47B)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implied guidance</w:t>
            </w:r>
          </w:p>
        </w:tc>
      </w:tr>
      <w:tr>
        <w:tc>
          <w:tcPr>
            <w:tcW w:type="dxa" w:w="1080"/>
          </w:tcPr>
          <w:p>
            <w:r>
              <w:rPr>
                <w:rFonts w:ascii="Calibri" w:hAnsi="Calibri"/>
                <w:sz w:val="22"/>
              </w:rPr>
              <w:t>Revenue — FY2026</w:t>
            </w:r>
          </w:p>
        </w:tc>
        <w:tc>
          <w:tcPr>
            <w:tcW w:type="dxa" w:w="1080"/>
          </w:tcPr>
          <w:p>
            <w:r>
              <w:rPr>
                <w:rFonts w:ascii="Calibri" w:hAnsi="Calibri"/>
                <w:sz w:val="22"/>
              </w:rPr>
              <w:t>$42.40B ¹</w:t>
            </w:r>
          </w:p>
        </w:tc>
        <w:tc>
          <w:tcPr>
            <w:tcW w:type="dxa" w:w="1080"/>
          </w:tcPr>
          <w:p>
            <w:r>
              <w:rPr>
                <w:rFonts w:ascii="Calibri" w:hAnsi="Calibri"/>
                <w:sz w:val="22"/>
              </w:rPr>
              <w:t>$42.51B ¹</w:t>
            </w:r>
          </w:p>
        </w:tc>
        <w:tc>
          <w:tcPr>
            <w:tcW w:type="dxa" w:w="1080"/>
          </w:tcPr>
          <w:p>
            <w:r>
              <w:rPr>
                <w:rFonts w:ascii="Calibri" w:hAnsi="Calibri"/>
                <w:sz w:val="22"/>
              </w:rPr>
              <w:t>+0.3%</w:t>
            </w:r>
          </w:p>
        </w:tc>
        <w:tc>
          <w:tcPr>
            <w:tcW w:type="dxa" w:w="1080"/>
          </w:tcPr>
          <w:p>
            <w:r>
              <w:rPr>
                <w:rFonts w:ascii="Calibri" w:hAnsi="Calibri"/>
                <w:sz w:val="22"/>
              </w:rPr>
              <w:t>N/A (no FY guidance given)</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$10.67 ¹</w:t>
            </w:r>
          </w:p>
        </w:tc>
        <w:tc>
          <w:tcPr>
            <w:tcW w:type="dxa" w:w="1080"/>
          </w:tcPr>
          <w:p>
            <w:r>
              <w:rPr>
                <w:rFonts w:ascii="Calibri" w:hAnsi="Calibri"/>
                <w:sz w:val="22"/>
              </w:rPr>
              <w:t>$10.73 ¹</w:t>
            </w:r>
          </w:p>
        </w:tc>
        <w:tc>
          <w:tcPr>
            <w:tcW w:type="dxa" w:w="1080"/>
          </w:tcPr>
          <w:p>
            <w:r>
              <w:rPr>
                <w:rFonts w:ascii="Calibri" w:hAnsi="Calibri"/>
                <w:sz w:val="22"/>
              </w:rPr>
              <w:t>+0.6%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$42.38B ¹</w:t>
            </w:r>
          </w:p>
        </w:tc>
        <w:tc>
          <w:tcPr>
            <w:tcW w:type="dxa" w:w="1080"/>
          </w:tcPr>
          <w:p>
            <w:r>
              <w:rPr>
                <w:rFonts w:ascii="Calibri" w:hAnsi="Calibri"/>
                <w:sz w:val="22"/>
              </w:rPr>
              <w:t>$44.20B ¹</w:t>
            </w:r>
          </w:p>
        </w:tc>
        <w:tc>
          <w:tcPr>
            <w:tcW w:type="dxa" w:w="1080"/>
          </w:tcPr>
          <w:p>
            <w:r>
              <w:rPr>
                <w:rFonts w:ascii="Calibri" w:hAnsi="Calibri"/>
                <w:b/>
                <w:color w:val="30A46C"/>
                <w:sz w:val="22"/>
              </w:rPr>
              <w:t>+4.3%</w:t>
            </w:r>
          </w:p>
        </w:tc>
        <w:tc>
          <w:tcPr>
            <w:tcW w:type="dxa" w:w="1080"/>
          </w:tcPr>
          <w:p>
            <w:r>
              <w:rPr>
                <w:rFonts w:ascii="Calibri" w:hAnsi="Calibri"/>
                <w:sz w:val="22"/>
              </w:rPr>
              <w:t>N/A</w:t>
            </w:r>
          </w:p>
        </w:tc>
        <w:tc>
          <w:tcPr>
            <w:tcW w:type="dxa" w:w="1080"/>
          </w:tcPr>
          <w:p>
            <w:r>
              <w:rPr>
                <w:rFonts w:ascii="Calibri" w:hAnsi="Calibri"/>
                <w:sz w:val="22"/>
              </w:rPr>
              <w:t>Investor Day target: $40B non-handset + data center by FY2029</w:t>
            </w:r>
          </w:p>
        </w:tc>
        <w:tc>
          <w:tcPr>
            <w:tcW w:type="dxa" w:w="1080"/>
          </w:tcPr>
          <w:p>
            <w:r>
              <w:rPr>
                <w:rFonts w:ascii="Calibri" w:hAnsi="Calibri"/>
                <w:sz w:val="22"/>
              </w:rPr>
              <w:t>↑ Long-term targets raised</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$10.51 ¹</w:t>
            </w:r>
          </w:p>
        </w:tc>
        <w:tc>
          <w:tcPr>
            <w:tcW w:type="dxa" w:w="1080"/>
          </w:tcPr>
          <w:p>
            <w:r>
              <w:rPr>
                <w:rFonts w:ascii="Calibri" w:hAnsi="Calibri"/>
                <w:sz w:val="22"/>
              </w:rPr>
              <w:t>$10.93 ¹</w:t>
            </w:r>
          </w:p>
        </w:tc>
        <w:tc>
          <w:tcPr>
            <w:tcW w:type="dxa" w:w="1080"/>
          </w:tcPr>
          <w:p>
            <w:r>
              <w:rPr>
                <w:rFonts w:ascii="Calibri" w:hAnsi="Calibri"/>
                <w:b/>
                <w:color w:val="30A46C"/>
                <w:sz w:val="22"/>
              </w:rPr>
              <w:t>+4.0%</w:t>
            </w:r>
          </w:p>
        </w:tc>
        <w:tc>
          <w:tcPr>
            <w:tcW w:type="dxa" w:w="1080"/>
          </w:tcPr>
          <w:p>
            <w:r>
              <w:rPr>
                <w:rFonts w:ascii="Calibri" w:hAnsi="Calibri"/>
                <w:sz w:val="22"/>
              </w:rPr>
              <w:t>N/A</w:t>
            </w:r>
          </w:p>
        </w:tc>
        <w:tc>
          <w:tcPr>
            <w:tcW w:type="dxa" w:w="1080"/>
          </w:tcPr>
          <w:p>
            <w:r>
              <w:rPr>
                <w:rFonts w:ascii="Calibri" w:hAnsi="Calibri"/>
                <w:sz w:val="22"/>
              </w:rPr>
              <w:t>Investor Day target: &gt;$18 non-GAAP EPS by FY2029</w:t>
            </w:r>
          </w:p>
        </w:tc>
        <w:tc>
          <w:tcPr>
            <w:tcW w:type="dxa" w:w="1080"/>
          </w:tcPr>
          <w:p>
            <w:r>
              <w:rPr>
                <w:rFonts w:ascii="Calibri" w:hAnsi="Calibri"/>
                <w:sz w:val="22"/>
              </w:rPr>
              <w:t>↑ Long-term targets raised</w:t>
            </w:r>
          </w:p>
        </w:tc>
        <w:tc>
          <w:tcPr>
            <w:tcW w:type="dxa" w:w="1080"/>
          </w:tcPr>
          <w:p>
            <w:r>
              <w:rPr>
                <w:rFonts w:ascii="Calibri" w:hAnsi="Calibri"/>
                <w:sz w:val="22"/>
              </w:rPr>
              <w:t>N/A</w:t>
            </w:r>
          </w:p>
        </w:tc>
      </w:tr>
    </w:tbl>
    <w:p>
      <w:r>
        <w:rPr>
          <w:rFonts w:ascii="Calibri" w:hAnsi="Calibri"/>
          <w:i/>
          <w:color w:val="525866"/>
          <w:sz w:val="22"/>
        </w:rPr>
        <w:t>¹ Source: Visible Alpha Consensus and Actuals Data</w:t>
      </w:r>
    </w:p>
    <w:p>
      <w:r>
        <w:rPr>
          <w:rFonts w:ascii="Calibri" w:hAnsi="Calibri"/>
          <w:color w:val="525866"/>
          <w:sz w:val="22"/>
        </w:rPr>
        <w:t>Near-term estimates (Q3 FY2026 and FY2026) are essentially anchored at the post-print baseline, confirming the Street has not revised materially in either direction since April 29. The more notable move is in FY2027, where revenue and EPS estimates have risen ~4% since the post-print baseline, reflecting early credit for the data-center revenue ramp (Investor Day $5B FY2027 target) and the automotive pipeline expansion ($65B design wins, $10B FY2029 target). The gap between FY2027 consensus (~$44.2B revenue, ~$10.93 EPS) and the Investor Day long-term trajectory implies the Street is still discounting a significant portion of the data-center and diversification upside.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QCOM has significantly underperformed SOXX since the April 29 earnings print — the stock is roughly flat to slightly up from the pre-earnings close while SOXX is up ~9% — driven by </w:t>
      </w:r>
      <w:r>
        <w:rPr>
          <w:rFonts w:ascii="Calibri" w:hAnsi="Calibri"/>
          <w:b/>
          <w:color w:val="525866"/>
          <w:sz w:val="22"/>
        </w:rPr>
        <w:t>multiple compression rather than estimate cuts</w:t>
      </w:r>
      <w:r>
        <w:rPr>
          <w:rFonts w:ascii="Calibri" w:hAnsi="Calibri"/>
          <w:color w:val="525866"/>
          <w:sz w:val="22"/>
        </w:rPr>
        <w:t>, as the market has not yet assigned value to the data-center optionality disclosed at the June 24 Investor Day.</w:t>
      </w:r>
    </w:p>
    <w:p>
      <w:r>
        <w:rPr>
          <w:rFonts w:ascii="Calibri" w:hAnsi="Calibri"/>
          <w:b/>
          <w:color w:val="525866"/>
          <w:sz w:val="22"/>
        </w:rPr>
        <w:t>Chart: QCOM vs. SOXX vs. SPY — Indexed to 100 at April 29,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QCOM (Indexed)</w:t>
            </w:r>
          </w:p>
        </w:tc>
        <w:tc>
          <w:tcPr>
            <w:tcW w:type="dxa" w:w="2160"/>
            <w:shd w:val="clear" w:color="auto" w:fill="3B4259"/>
          </w:tcPr>
          <w:p>
            <w:r>
              <w:rPr>
                <w:rFonts w:ascii="Calibri" w:hAnsi="Calibri"/>
                <w:b/>
                <w:color w:val="FFFFFF"/>
                <w:sz w:val="22"/>
              </w:rPr>
              <w:t>SOXX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(Day +1)</w:t>
            </w:r>
          </w:p>
        </w:tc>
        <w:tc>
          <w:tcPr>
            <w:tcW w:type="dxa" w:w="2160"/>
          </w:tcPr>
          <w:p>
            <w:r>
              <w:rPr>
                <w:rFonts w:ascii="Calibri" w:hAnsi="Calibri"/>
                <w:sz w:val="22"/>
              </w:rPr>
              <w:t>115.1</w:t>
            </w:r>
          </w:p>
        </w:tc>
        <w:tc>
          <w:tcPr>
            <w:tcW w:type="dxa" w:w="2160"/>
          </w:tcPr>
          <w:p>
            <w:r>
              <w:rPr>
                <w:rFonts w:ascii="Calibri" w:hAnsi="Calibri"/>
                <w:sz w:val="22"/>
              </w:rPr>
              <w:t>102.5</w:t>
            </w:r>
          </w:p>
        </w:tc>
        <w:tc>
          <w:tcPr>
            <w:tcW w:type="dxa" w:w="2160"/>
          </w:tcPr>
          <w:p>
            <w:r>
              <w:rPr>
                <w:rFonts w:ascii="Calibri" w:hAnsi="Calibri"/>
                <w:sz w:val="22"/>
              </w:rPr>
              <w:t>101.0</w:t>
            </w:r>
          </w:p>
        </w:tc>
      </w:tr>
      <w:tr>
        <w:tc>
          <w:tcPr>
            <w:tcW w:type="dxa" w:w="2160"/>
          </w:tcPr>
          <w:p>
            <w:r>
              <w:rPr>
                <w:rFonts w:ascii="Calibri" w:hAnsi="Calibri"/>
                <w:sz w:val="22"/>
              </w:rPr>
              <w:t>May 29 (Peak)</w:t>
            </w:r>
          </w:p>
        </w:tc>
        <w:tc>
          <w:tcPr>
            <w:tcW w:type="dxa" w:w="2160"/>
          </w:tcPr>
          <w:p>
            <w:r>
              <w:rPr>
                <w:rFonts w:ascii="Calibri" w:hAnsi="Calibri"/>
                <w:sz w:val="22"/>
              </w:rPr>
              <w:t>160.9</w:t>
            </w:r>
          </w:p>
        </w:tc>
        <w:tc>
          <w:tcPr>
            <w:tcW w:type="dxa" w:w="2160"/>
          </w:tcPr>
          <w:p>
            <w:r>
              <w:rPr>
                <w:rFonts w:ascii="Calibri" w:hAnsi="Calibri"/>
                <w:sz w:val="22"/>
              </w:rPr>
              <w:t>126.5</w:t>
            </w:r>
          </w:p>
        </w:tc>
        <w:tc>
          <w:tcPr>
            <w:tcW w:type="dxa" w:w="2160"/>
          </w:tcPr>
          <w:p>
            <w:r>
              <w:rPr>
                <w:rFonts w:ascii="Calibri" w:hAnsi="Calibri"/>
                <w:sz w:val="22"/>
              </w:rPr>
              <w:t>106.3</w:t>
            </w:r>
          </w:p>
        </w:tc>
      </w:tr>
      <w:tr>
        <w:tc>
          <w:tcPr>
            <w:tcW w:type="dxa" w:w="2160"/>
          </w:tcPr>
          <w:p>
            <w:r>
              <w:rPr>
                <w:rFonts w:ascii="Calibri" w:hAnsi="Calibri"/>
                <w:sz w:val="22"/>
              </w:rPr>
              <w:t>Jun 24 (Investor Day)</w:t>
            </w:r>
          </w:p>
        </w:tc>
        <w:tc>
          <w:tcPr>
            <w:tcW w:type="dxa" w:w="2160"/>
          </w:tcPr>
          <w:p>
            <w:r>
              <w:rPr>
                <w:rFonts w:ascii="Calibri" w:hAnsi="Calibri"/>
                <w:sz w:val="22"/>
              </w:rPr>
              <w:t>126.5</w:t>
            </w:r>
          </w:p>
        </w:tc>
        <w:tc>
          <w:tcPr>
            <w:tcW w:type="dxa" w:w="2160"/>
          </w:tcPr>
          <w:p>
            <w:r>
              <w:rPr>
                <w:rFonts w:ascii="Calibri" w:hAnsi="Calibri"/>
                <w:sz w:val="22"/>
              </w:rPr>
              <w:t>133.7</w:t>
            </w:r>
          </w:p>
        </w:tc>
        <w:tc>
          <w:tcPr>
            <w:tcW w:type="dxa" w:w="2160"/>
          </w:tcPr>
          <w:p>
            <w:r>
              <w:rPr>
                <w:rFonts w:ascii="Calibri" w:hAnsi="Calibri"/>
                <w:sz w:val="22"/>
              </w:rPr>
              <w:t>103.0</w:t>
            </w:r>
          </w:p>
        </w:tc>
      </w:tr>
      <w:tr>
        <w:tc>
          <w:tcPr>
            <w:tcW w:type="dxa" w:w="2160"/>
          </w:tcPr>
          <w:p>
            <w:r>
              <w:rPr>
                <w:rFonts w:ascii="Calibri" w:hAnsi="Calibri"/>
                <w:sz w:val="22"/>
              </w:rPr>
              <w:t>Jun 30 (Q3 End)</w:t>
            </w:r>
          </w:p>
        </w:tc>
        <w:tc>
          <w:tcPr>
            <w:tcW w:type="dxa" w:w="2160"/>
          </w:tcPr>
          <w:p>
            <w:r>
              <w:rPr>
                <w:rFonts w:ascii="Calibri" w:hAnsi="Calibri"/>
                <w:sz w:val="22"/>
              </w:rPr>
              <w:t>118.5</w:t>
            </w:r>
          </w:p>
        </w:tc>
        <w:tc>
          <w:tcPr>
            <w:tcW w:type="dxa" w:w="2160"/>
          </w:tcPr>
          <w:p>
            <w:r>
              <w:rPr>
                <w:rFonts w:ascii="Calibri" w:hAnsi="Calibri"/>
                <w:sz w:val="22"/>
              </w:rPr>
              <w:t>142.4</w:t>
            </w:r>
          </w:p>
        </w:tc>
        <w:tc>
          <w:tcPr>
            <w:tcW w:type="dxa" w:w="2160"/>
          </w:tcPr>
          <w:p>
            <w:r>
              <w:rPr>
                <w:rFonts w:ascii="Calibri" w:hAnsi="Calibri"/>
                <w:sz w:val="22"/>
              </w:rPr>
              <w:t>104.9</w:t>
            </w:r>
          </w:p>
        </w:tc>
      </w:tr>
      <w:tr>
        <w:tc>
          <w:tcPr>
            <w:tcW w:type="dxa" w:w="2160"/>
          </w:tcPr>
          <w:p>
            <w:r>
              <w:rPr>
                <w:rFonts w:ascii="Calibri" w:hAnsi="Calibri"/>
                <w:sz w:val="22"/>
              </w:rPr>
              <w:t>Jul 22 (TXN Earnings)</w:t>
            </w:r>
          </w:p>
        </w:tc>
        <w:tc>
          <w:tcPr>
            <w:tcW w:type="dxa" w:w="2160"/>
          </w:tcPr>
          <w:p>
            <w:r>
              <w:rPr>
                <w:rFonts w:ascii="Calibri" w:hAnsi="Calibri"/>
                <w:sz w:val="22"/>
              </w:rPr>
              <w:t>112.6</w:t>
            </w:r>
          </w:p>
        </w:tc>
        <w:tc>
          <w:tcPr>
            <w:tcW w:type="dxa" w:w="2160"/>
          </w:tcPr>
          <w:p>
            <w:r>
              <w:rPr>
                <w:rFonts w:ascii="Calibri" w:hAnsi="Calibri"/>
                <w:sz w:val="22"/>
              </w:rPr>
              <w:t>123.5</w:t>
            </w:r>
          </w:p>
        </w:tc>
        <w:tc>
          <w:tcPr>
            <w:tcW w:type="dxa" w:w="2160"/>
          </w:tcPr>
          <w:p>
            <w:r>
              <w:rPr>
                <w:rFonts w:ascii="Calibri" w:hAnsi="Calibri"/>
                <w:sz w:val="22"/>
              </w:rPr>
              <w:t>105.0</w:t>
            </w:r>
          </w:p>
        </w:tc>
      </w:tr>
      <w:tr>
        <w:tc>
          <w:tcPr>
            <w:tcW w:type="dxa" w:w="2160"/>
          </w:tcPr>
          <w:p>
            <w:r>
              <w:rPr>
                <w:rFonts w:ascii="Calibri" w:hAnsi="Calibri"/>
                <w:sz w:val="22"/>
              </w:rPr>
              <w:t>Jul 28 (Day Before Print)</w:t>
            </w:r>
          </w:p>
        </w:tc>
        <w:tc>
          <w:tcPr>
            <w:tcW w:type="dxa" w:w="2160"/>
          </w:tcPr>
          <w:p>
            <w:r>
              <w:rPr>
                <w:rFonts w:ascii="Calibri" w:hAnsi="Calibri"/>
                <w:sz w:val="22"/>
              </w:rPr>
              <w:t>109.0</w:t>
            </w:r>
          </w:p>
        </w:tc>
        <w:tc>
          <w:tcPr>
            <w:tcW w:type="dxa" w:w="2160"/>
          </w:tcPr>
          <w:p>
            <w:r>
              <w:rPr>
                <w:rFonts w:ascii="Calibri" w:hAnsi="Calibri"/>
                <w:sz w:val="22"/>
              </w:rPr>
              <w:t>114.7</w:t>
            </w:r>
          </w:p>
        </w:tc>
        <w:tc>
          <w:tcPr>
            <w:tcW w:type="dxa" w:w="2160"/>
          </w:tcPr>
          <w:p>
            <w:r>
              <w:rPr>
                <w:rFonts w:ascii="Calibri" w:hAnsi="Calibri"/>
                <w:sz w:val="22"/>
              </w:rPr>
              <w:t>103.9</w:t>
            </w:r>
          </w:p>
        </w:tc>
      </w:tr>
    </w:tbl>
    <w:p>
      <w:r>
        <w:rPr>
          <w:rFonts w:ascii="Calibri" w:hAnsi="Calibri"/>
          <w:i/>
          <w:color w:val="525866"/>
          <w:sz w:val="22"/>
        </w:rPr>
        <w:t>Note: Indexed to 100 at April 29, 2026 close ($156.00 QCOM, $449.99 SOXX, $711.58 SPY). Source: Stock Price Data (Yahoo Finance).</w:t>
      </w:r>
    </w:p>
    <w:p>
      <w:r>
        <w:rPr>
          <w:rFonts w:ascii="Calibri" w:hAnsi="Calibri"/>
          <w:b/>
          <w:color w:val="525866"/>
          <w:sz w:val="22"/>
        </w:rPr>
        <w:t>Key Events Since Last Earnings:</w:t>
      </w:r>
    </w:p>
    <w:p>
      <w:pPr>
        <w:pStyle w:val="ListBullet"/>
        <w:ind w:left="360" w:hanging="360"/>
      </w:pPr>
      <w:r>
        <w:rPr>
          <w:rFonts w:ascii="Calibri" w:hAnsi="Calibri"/>
          <w:b/>
          <w:color w:val="525866"/>
          <w:sz w:val="22"/>
        </w:rPr>
        <w:t>Apr 30:</w:t>
      </w:r>
      <w:r>
        <w:rPr>
          <w:rFonts w:ascii="Calibri" w:hAnsi="Calibri"/>
          <w:color w:val="525866"/>
          <w:sz w:val="22"/>
        </w:rPr>
        <w:t xml:space="preserve"> QCOM surged +15.1% on the day after earnings as the market digested the hyperscaler custom-silicon announcement and the explicit China Android bottom call, despite the Q3 guidance miss.</w:t>
      </w:r>
    </w:p>
    <w:p>
      <w:pPr>
        <w:pStyle w:val="ListBullet"/>
        <w:ind w:left="360" w:hanging="360"/>
      </w:pPr>
      <w:r>
        <w:rPr>
          <w:rFonts w:ascii="Calibri" w:hAnsi="Calibri"/>
          <w:b/>
          <w:color w:val="525866"/>
          <w:sz w:val="22"/>
        </w:rPr>
        <w:t>May 22 (Bloomberg report):</w:t>
      </w:r>
      <w:r>
        <w:rPr>
          <w:rFonts w:ascii="Calibri" w:hAnsi="Calibri"/>
          <w:color w:val="525866"/>
          <w:sz w:val="22"/>
        </w:rPr>
        <w:t xml:space="preserve"> QCOM reported as a ByteDance ASIC customer for AI agent inference workloads; stock hit an all-time intraday high, driving the peak indexed return of ~161.</w:t>
      </w:r>
    </w:p>
    <w:p>
      <w:pPr>
        <w:pStyle w:val="ListBullet"/>
        <w:ind w:left="360" w:hanging="360"/>
      </w:pPr>
      <w:r>
        <w:rPr>
          <w:rFonts w:ascii="Calibri" w:hAnsi="Calibri"/>
          <w:b/>
          <w:color w:val="525866"/>
          <w:sz w:val="22"/>
        </w:rPr>
        <w:t>Jun 5:</w:t>
      </w:r>
      <w:r>
        <w:rPr>
          <w:rFonts w:ascii="Calibri" w:hAnsi="Calibri"/>
          <w:color w:val="525866"/>
          <w:sz w:val="22"/>
        </w:rPr>
        <w:t xml:space="preserve"> Broad semiconductor sector selloff; QCOM fell ~14% in a single session as sector rotation and AI spending concerns weighed.</w:t>
      </w:r>
    </w:p>
    <w:p>
      <w:pPr>
        <w:pStyle w:val="ListBullet"/>
        <w:ind w:left="360" w:hanging="360"/>
      </w:pPr>
      <w:r>
        <w:rPr>
          <w:rFonts w:ascii="Calibri" w:hAnsi="Calibri"/>
          <w:b/>
          <w:color w:val="525866"/>
          <w:sz w:val="22"/>
        </w:rPr>
        <w:t>Jun 24 (Investor Day):</w:t>
      </w:r>
      <w:r>
        <w:rPr>
          <w:rFonts w:ascii="Calibri" w:hAnsi="Calibri"/>
          <w:color w:val="525866"/>
          <w:sz w:val="22"/>
        </w:rPr>
        <w:t xml:space="preserve"> QCOM unveiled the Dragonfly data-center portfolio, named Microsoft and Meta as CPU customers, announced the Modular acquisition, and doubled the FY2029 revenue target to $40B. Stock declined ~3% on the day as the market had partially priced in the news.</w:t>
      </w:r>
    </w:p>
    <w:p>
      <w:pPr>
        <w:pStyle w:val="ListBullet"/>
        <w:ind w:left="360" w:hanging="360"/>
      </w:pPr>
      <w:r>
        <w:rPr>
          <w:rFonts w:ascii="Calibri" w:hAnsi="Calibri"/>
          <w:b/>
          <w:color w:val="525866"/>
          <w:sz w:val="22"/>
        </w:rPr>
        <w:t>Jul 16–28:</w:t>
      </w:r>
      <w:r>
        <w:rPr>
          <w:rFonts w:ascii="Calibri" w:hAnsi="Calibri"/>
          <w:color w:val="525866"/>
          <w:sz w:val="22"/>
        </w:rPr>
        <w:t xml:space="preserve"> Broad semiconductor sector weakness driven by CXMT IPO in Shanghai (Chinese memory competitor), TSMC capex concerns, and sector-wide risk-off; SOXX fell ~14% from its late-June peak while QCOM fell ~18% from its Investor Day level, widening the underperformance gap.</w:t>
      </w:r>
    </w:p>
    <w:p>
      <w:r>
        <w:rPr>
          <w:rFonts w:ascii="Calibri" w:hAnsi="Calibri"/>
          <w:b/>
          <w:color w:val="525866"/>
          <w:sz w:val="22"/>
        </w:rPr>
        <w:t>Performance Summary (Apr 29 – Jul 28, 2026):</w:t>
      </w:r>
      <w:r>
        <w:rPr>
          <w:rFonts w:ascii="Calibri" w:hAnsi="Calibri"/>
          <w:color w:val="525866"/>
          <w:sz w:val="22"/>
        </w:rPr>
        <w:t xml:space="preserve"> QCOM +9.0% | SOXX +14.7% | SPY +3.9%. QCOM underperformed SOXX by ~5.7 percentage points over the period. The 1-month performance (June 30 – July 28) shows QCOM -14.0% vs. SOXX -19.0%, suggesting QCOM has actually held up slightly better than the sector in the recent selloff. The NTM P/E of ~15.6x (vs. ~12.9x six months ago) reflects multiple expansion from the data-center narrative, but remains at a steep discount to semiconductor peers at 25–30x, implying the market is still pricing in significant execution risk on diversification.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last earnings is the June 24 Investor Day, which doubled the FY2029 revenue target and named Microsoft and Meta as data-center CPU customers — a structural re-rating catalyst that the stock has not yet fully priced in. The secondary wildcard is Qualcomm's plan to implement </w:t>
      </w:r>
      <w:r>
        <w:rPr>
          <w:rFonts w:ascii="Calibri" w:hAnsi="Calibri"/>
          <w:b/>
          <w:color w:val="525866"/>
          <w:sz w:val="22"/>
        </w:rPr>
        <w:t>double-digit chip price increases</w:t>
      </w:r>
      <w:r>
        <w:rPr>
          <w:rFonts w:ascii="Calibri" w:hAnsi="Calibri"/>
          <w:color w:val="525866"/>
          <w:sz w:val="22"/>
        </w:rPr>
        <w:t>, which could provide a meaningful near-term revenue and margin tailwind if customers absorb the hikes.</w:t>
      </w:r>
    </w:p>
    <w:p>
      <w:pPr>
        <w:pStyle w:val="ListBullet"/>
        <w:ind w:left="360" w:hanging="360"/>
      </w:pPr>
      <w:r>
        <w:rPr>
          <w:rFonts w:ascii="Calibri" w:hAnsi="Calibri"/>
          <w:b/>
          <w:color w:val="525866"/>
          <w:sz w:val="22"/>
        </w:rPr>
        <w:t>Jun 24, 2026 — Investor Day (Most Material):</w:t>
      </w:r>
      <w:r>
        <w:rPr>
          <w:rFonts w:ascii="Calibri" w:hAnsi="Calibri"/>
          <w:color w:val="525866"/>
          <w:sz w:val="22"/>
        </w:rPr>
        <w:t xml:space="preserve"> Qualcomm unveiled the Dragonfly data-center portfolio (C1000 CPU, AI300 accelerator, HBC near-memory compute), named </w:t>
      </w:r>
      <w:r>
        <w:rPr>
          <w:rFonts w:ascii="Calibri" w:hAnsi="Calibri"/>
          <w:b/>
          <w:color w:val="525866"/>
          <w:sz w:val="22"/>
        </w:rPr>
        <w:t>Microsoft (Azure CPU deployment) and Meta (multi-gen CPU supply)</w:t>
      </w:r>
      <w:r>
        <w:rPr>
          <w:rFonts w:ascii="Calibri" w:hAnsi="Calibri"/>
          <w:color w:val="525866"/>
          <w:sz w:val="22"/>
        </w:rPr>
        <w:t xml:space="preserve"> as anchor customers, announced a second hyperscaler custom-silicon win, and doubled the FY2029 non-handset revenue target from $22B to $40B (implying 40% CAGR FY2025–FY2029). Data-center revenue target set at &gt;$15B by FY2029 and $5B by FY2027. Automotive design-win pipeline expanded to $65B (from $45B). FY2029 non-GAAP EPS target set at &gt;$18. Implication: Structural re-rating catalyst; the market has not yet assigned full credit.</w:t>
      </w:r>
    </w:p>
    <w:p>
      <w:pPr>
        <w:pStyle w:val="ListBullet"/>
        <w:ind w:left="360" w:hanging="360"/>
      </w:pPr>
      <w:r>
        <w:rPr>
          <w:rFonts w:ascii="Calibri" w:hAnsi="Calibri"/>
          <w:b/>
          <w:color w:val="525866"/>
          <w:sz w:val="22"/>
        </w:rPr>
        <w:t>Jun 24, 2026 — Modular Acquisition Announced:</w:t>
      </w:r>
      <w:r>
        <w:rPr>
          <w:rFonts w:ascii="Calibri" w:hAnsi="Calibri"/>
          <w:color w:val="525866"/>
          <w:sz w:val="22"/>
        </w:rPr>
        <w:t xml:space="preserve"> Qualcomm announced the acquisition of Modular (AI software / unified compute layer), funded with up to 19.2 million unregistered shares. Implication: Strengthens the software stack for the Dragonfly data-center platform; bolt-on consistent with stated M&amp;A strategy.</w:t>
      </w:r>
    </w:p>
    <w:p>
      <w:pPr>
        <w:pStyle w:val="ListBullet"/>
        <w:ind w:left="360" w:hanging="360"/>
      </w:pPr>
      <w:r>
        <w:rPr>
          <w:rFonts w:ascii="Calibri" w:hAnsi="Calibri"/>
          <w:b/>
          <w:color w:val="525866"/>
          <w:sz w:val="22"/>
        </w:rPr>
        <w:t>~May 22, 2026 — ByteDance Named as ASIC Customer:</w:t>
      </w:r>
      <w:r>
        <w:rPr>
          <w:rFonts w:ascii="Calibri" w:hAnsi="Calibri"/>
          <w:color w:val="525866"/>
          <w:sz w:val="22"/>
        </w:rPr>
        <w:t xml:space="preserve"> Bloomberg reported ByteDance (TikTok parent) as a Qualcomm custom ASIC customer for AI agent inference workloads, with the deal also including chip manufacturing services. Stock hit an all-time intraday high on the news. Implication: First named ASIC customer validates the custom-silicon go-to-market; deal reportedly within current U.S. export control boundaries.</w:t>
      </w:r>
    </w:p>
    <w:p>
      <w:pPr>
        <w:pStyle w:val="ListBullet"/>
        <w:ind w:left="360" w:hanging="360"/>
      </w:pPr>
      <w:r>
        <w:rPr>
          <w:rFonts w:ascii="Calibri" w:hAnsi="Calibri"/>
          <w:b/>
          <w:color w:val="525866"/>
          <w:sz w:val="22"/>
        </w:rPr>
        <w:t>Jul 24, 2026 — Double-Digit Chip Price Increases:</w:t>
      </w:r>
      <w:r>
        <w:rPr>
          <w:rFonts w:ascii="Calibri" w:hAnsi="Calibri"/>
          <w:color w:val="525866"/>
          <w:sz w:val="22"/>
        </w:rPr>
        <w:t xml:space="preserve"> Bloomberg reported that Qualcomm is telling customers prices are going up by double digits. Implication: </w:t>
      </w:r>
      <w:r>
        <w:rPr>
          <w:rFonts w:ascii="Calibri" w:hAnsi="Calibri"/>
          <w:b/>
          <w:color w:val="525866"/>
          <w:sz w:val="22"/>
        </w:rPr>
        <w:t>Potential near-term revenue and margin tailwind</w:t>
      </w:r>
      <w:r>
        <w:rPr>
          <w:rFonts w:ascii="Calibri" w:hAnsi="Calibri"/>
          <w:color w:val="525866"/>
          <w:sz w:val="22"/>
        </w:rPr>
        <w:t xml:space="preserve"> if customers absorb the hikes; risk of demand destruction in price-sensitive mid-low tier handset segments already under memory-cost pressure.</w:t>
      </w:r>
    </w:p>
    <w:p>
      <w:pPr>
        <w:pStyle w:val="ListBullet"/>
        <w:ind w:left="360" w:hanging="360"/>
      </w:pPr>
      <w:r>
        <w:rPr>
          <w:rFonts w:ascii="Calibri" w:hAnsi="Calibri"/>
          <w:b/>
          <w:color w:val="525866"/>
          <w:sz w:val="22"/>
        </w:rPr>
        <w:t>May 27, 2026 — Bernstein Conference:</w:t>
      </w:r>
      <w:r>
        <w:rPr>
          <w:rFonts w:ascii="Calibri" w:hAnsi="Calibri"/>
          <w:color w:val="525866"/>
          <w:sz w:val="22"/>
        </w:rPr>
        <w:t xml:space="preserve"> CEO Cristiano Amon explicitly defined 'material' FY2027 data-center revenue as </w:t>
      </w:r>
      <w:r>
        <w:rPr>
          <w:rFonts w:ascii="Calibri" w:hAnsi="Calibri"/>
          <w:b/>
          <w:color w:val="525866"/>
          <w:sz w:val="22"/>
        </w:rPr>
        <w:t>multiple billions of dollars</w:t>
      </w:r>
      <w:r>
        <w:rPr>
          <w:rFonts w:ascii="Calibri" w:hAnsi="Calibri"/>
          <w:color w:val="525866"/>
          <w:sz w:val="22"/>
        </w:rPr>
        <w:t xml:space="preserve"> and described the data-center opportunity as disaggregated compute targeting inference sub-workloads (prefill and decode disaggregation). Reaffirmed 30% QCT EBT margin target. Implication: Raised the credibility bar for the data-center narrative ahead of the Investor Day.</w:t>
      </w:r>
    </w:p>
    <w:p>
      <w:pPr>
        <w:pStyle w:val="ListBullet"/>
        <w:ind w:left="360" w:hanging="360"/>
      </w:pPr>
      <w:r>
        <w:rPr>
          <w:rFonts w:ascii="Calibri" w:hAnsi="Calibri"/>
          <w:b/>
          <w:color w:val="525866"/>
          <w:sz w:val="22"/>
        </w:rPr>
        <w:t>May 19, 2026 — J.P. Morgan Tech Conference:</w:t>
      </w:r>
      <w:r>
        <w:rPr>
          <w:rFonts w:ascii="Calibri" w:hAnsi="Calibri"/>
          <w:color w:val="525866"/>
          <w:sz w:val="22"/>
        </w:rPr>
        <w:t xml:space="preserve"> Management reiterated the Q3 bottom call on China Android and confirmed the hyperscaler custom-silicon engagement is on track for December quarter shipments. Implication: No change to guidance; reinforced the recovery timeline.</w:t>
      </w:r>
    </w:p>
    <w:p>
      <w:pPr>
        <w:pStyle w:val="ListBullet"/>
        <w:ind w:left="360" w:hanging="360"/>
      </w:pPr>
      <w:r>
        <w:rPr>
          <w:rFonts w:ascii="Calibri" w:hAnsi="Calibri"/>
          <w:b/>
          <w:color w:val="525866"/>
          <w:sz w:val="22"/>
        </w:rPr>
        <w:t>Jul 15, 2026 — Q3 Earnings Date Confirmed:</w:t>
      </w:r>
      <w:r>
        <w:rPr>
          <w:rFonts w:ascii="Calibri" w:hAnsi="Calibri"/>
          <w:color w:val="525866"/>
          <w:sz w:val="22"/>
        </w:rPr>
        <w:t xml:space="preserve"> Qualcomm confirmed July 29, 2026 earnings release after market close, with conference call at 1:45 PM PT. Implication: No surprise on timing.</w:t>
      </w:r>
    </w:p>
    <w:p>
      <w:pPr>
        <w:pStyle w:val="ListBullet"/>
        <w:ind w:left="360" w:hanging="360"/>
      </w:pPr>
      <w:r>
        <w:rPr>
          <w:rFonts w:ascii="Calibri" w:hAnsi="Calibri"/>
          <w:b/>
          <w:color w:val="525866"/>
          <w:sz w:val="22"/>
        </w:rPr>
        <w:t>Jul 16–28, 2026 — Sector Headwinds (CXMT IPO / Memory Competition):</w:t>
      </w:r>
      <w:r>
        <w:rPr>
          <w:rFonts w:ascii="Calibri" w:hAnsi="Calibri"/>
          <w:color w:val="525866"/>
          <w:sz w:val="22"/>
        </w:rPr>
        <w:t xml:space="preserve"> Chinese memory chipmaker CXMT raised $8.55B in a Shanghai IPO, becoming mainland China's most valuable company at ~$484B market cap. Reports of Chinese progress on immersion DUV lithography machines (competing with ASML) drove a broad semiconductor selloff (SOXX -14% from late-June peak). Implication: </w:t>
      </w:r>
      <w:r>
        <w:rPr>
          <w:rFonts w:ascii="Calibri" w:hAnsi="Calibri"/>
          <w:b/>
          <w:color w:val="525866"/>
          <w:sz w:val="22"/>
        </w:rPr>
        <w:t>Negative read-through for QCOM's handset segment</w:t>
      </w:r>
      <w:r>
        <w:rPr>
          <w:rFonts w:ascii="Calibri" w:hAnsi="Calibri"/>
          <w:color w:val="525866"/>
          <w:sz w:val="22"/>
        </w:rPr>
        <w:t xml:space="preserve"> — if Chinese OEMs gain access to cheaper domestic memory, the memory-cost headwind on handset builds could ease faster than expected (positive for Q4 recovery) but also raises longer-term competitive concerns for Qualcomm's China Android exposure.</w:t>
      </w:r>
    </w:p>
    <w:p>
      <w:pPr>
        <w:pStyle w:val="ListBullet"/>
        <w:ind w:left="360" w:hanging="360"/>
      </w:pPr>
      <w:r>
        <w:rPr>
          <w:rFonts w:ascii="Calibri" w:hAnsi="Calibri"/>
          <w:b/>
          <w:color w:val="525866"/>
          <w:sz w:val="22"/>
        </w:rPr>
        <w:t>Jul 27, 2026 — Broadcom-Samsung $200B MOU:</w:t>
      </w:r>
      <w:r>
        <w:rPr>
          <w:rFonts w:ascii="Calibri" w:hAnsi="Calibri"/>
          <w:color w:val="525866"/>
          <w:sz w:val="22"/>
        </w:rPr>
        <w:t xml:space="preserve"> Broadcom announced an expanded MOU with Samsung across memory and semiconductor technologies, expected to be worth &gt;$200B over five years. Implication: Reinforces the scale of AI infrastructure investment; indirectly positive for Qualcomm's data-center and connectivity ambitions.</w:t>
      </w:r>
    </w:p>
    <w:p>
      <w:pPr>
        <w:pStyle w:val="ListBullet"/>
        <w:ind w:left="360" w:hanging="360"/>
      </w:pPr>
      <w:r>
        <w:rPr>
          <w:rFonts w:ascii="Calibri" w:hAnsi="Calibri"/>
          <w:b/>
          <w:color w:val="525866"/>
          <w:sz w:val="22"/>
        </w:rPr>
        <w:t>Jul 22–23, 2026 — Texas Instruments Q2 Beat &amp; Strong Q3 Guide:</w:t>
      </w:r>
      <w:r>
        <w:rPr>
          <w:rFonts w:ascii="Calibri" w:hAnsi="Calibri"/>
          <w:color w:val="525866"/>
          <w:sz w:val="22"/>
        </w:rPr>
        <w:t xml:space="preserve"> TXN reported Q2 EPS of $2.14 (vs. $1.93 consensus) and guided Q3 revenue to $5.65B–$6.15B (vs. $5.61B consensus), with broad growth in industrial, automotive, and data center. Implication: </w:t>
      </w:r>
      <w:r>
        <w:rPr>
          <w:rFonts w:ascii="Calibri" w:hAnsi="Calibri"/>
          <w:b/>
          <w:color w:val="525866"/>
          <w:sz w:val="22"/>
        </w:rPr>
        <w:t>Positive read-through for QCOM's automotive and IoT segments</w:t>
      </w:r>
      <w:r>
        <w:rPr>
          <w:rFonts w:ascii="Calibri" w:hAnsi="Calibri"/>
          <w:color w:val="525866"/>
          <w:sz w:val="22"/>
        </w:rPr>
        <w:t>; TXN cited automotive demand led by China EVs/hybrids and depleted tier-1 inventory as key drivers.</w:t>
      </w:r>
    </w:p>
    <w:p>
      <w:pPr>
        <w:pStyle w:val="ListBullet"/>
        <w:ind w:left="360" w:hanging="360"/>
      </w:pPr>
      <w:r>
        <w:rPr>
          <w:rFonts w:ascii="Calibri" w:hAnsi="Calibri"/>
          <w:b/>
          <w:color w:val="525866"/>
          <w:sz w:val="22"/>
        </w:rPr>
        <w:t>Jul 28, 2026 — NXP Semiconductors Q2 Beat &amp; Strong Q3 Guide:</w:t>
      </w:r>
      <w:r>
        <w:rPr>
          <w:rFonts w:ascii="Calibri" w:hAnsi="Calibri"/>
          <w:color w:val="525866"/>
          <w:sz w:val="22"/>
        </w:rPr>
        <w:t xml:space="preserve"> NXPI reported Q2 EPS of $3.61 (vs. $3.54 consensus) and guided Q3 revenue to ~$3.75B (vs. $3.70B consensus), with automotive guided up low-double-digits YoY and industrial/IoT up high-30s% YoY. Implication: </w:t>
      </w:r>
      <w:r>
        <w:rPr>
          <w:rFonts w:ascii="Calibri" w:hAnsi="Calibri"/>
          <w:b/>
          <w:color w:val="525866"/>
          <w:sz w:val="22"/>
        </w:rPr>
        <w:t>Positive read-through for QCOM's automotive and IoT segments</w:t>
      </w:r>
      <w:r>
        <w:rPr>
          <w:rFonts w:ascii="Calibri" w:hAnsi="Calibri"/>
          <w:color w:val="525866"/>
          <w:sz w:val="22"/>
        </w:rPr>
        <w:t>; NXP cited software-defined vehicle architecture transformation and physical AI as key content drivers.</w:t>
      </w:r>
    </w:p>
    <w:p>
      <w:pPr>
        <w:pStyle w:val="ListBullet"/>
        <w:ind w:left="360" w:hanging="360"/>
      </w:pPr>
      <w:r>
        <w:rPr>
          <w:rFonts w:ascii="Calibri" w:hAnsi="Calibri"/>
          <w:b/>
          <w:color w:val="525866"/>
          <w:sz w:val="22"/>
        </w:rPr>
        <w:t>Jul 16, 2026 — TSMC Q2 Beat &amp; Raised Capex:</w:t>
      </w:r>
      <w:r>
        <w:rPr>
          <w:rFonts w:ascii="Calibri" w:hAnsi="Calibri"/>
          <w:color w:val="525866"/>
          <w:sz w:val="22"/>
        </w:rPr>
        <w:t xml:space="preserve"> TSMC reported Q2 net profit up 77% YoY and raised FY2026 capex to $60B–$64B (from $52B–$56B), pledging an additional $100B for Arizona. CEO C.C. Wei stated AI demand is 'extremely robust.' Implication: Positive for QCOM's long-term access to leading-edge nodes; TSMC's packaging capacity tightness is a near-term constraint to monitor.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April 29 earnings print are 10b5-1 planned sales — there are no discretionary open-market buys or sells, and no unusual clustering or outsized transaction sizes. The pattern is routine and does not signal any incremental insider view on the upcoming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Palkhiwala, Akash J.</w:t>
            </w:r>
          </w:p>
        </w:tc>
        <w:tc>
          <w:tcPr>
            <w:tcW w:type="dxa" w:w="1234"/>
          </w:tcPr>
          <w:p>
            <w:r>
              <w:rPr>
                <w:rFonts w:ascii="Calibri" w:hAnsi="Calibri"/>
                <w:sz w:val="22"/>
              </w:rPr>
              <w:t>EVP, CFO &amp; COO</w:t>
            </w:r>
          </w:p>
        </w:tc>
        <w:tc>
          <w:tcPr>
            <w:tcW w:type="dxa" w:w="1234"/>
          </w:tcPr>
          <w:p>
            <w:r>
              <w:rPr>
                <w:rFonts w:ascii="Calibri" w:hAnsi="Calibri"/>
                <w:sz w:val="22"/>
              </w:rPr>
              <w:t>10b5-1 Planned Sale</w:t>
            </w:r>
          </w:p>
        </w:tc>
        <w:tc>
          <w:tcPr>
            <w:tcW w:type="dxa" w:w="1234"/>
          </w:tcPr>
          <w:p>
            <w:r>
              <w:rPr>
                <w:rFonts w:ascii="Calibri" w:hAnsi="Calibri"/>
                <w:sz w:val="22"/>
              </w:rPr>
              <w:t>2,500</w:t>
            </w:r>
          </w:p>
        </w:tc>
        <w:tc>
          <w:tcPr>
            <w:tcW w:type="dxa" w:w="1234"/>
          </w:tcPr>
          <w:p>
            <w:r>
              <w:rPr>
                <w:rFonts w:ascii="Calibri" w:hAnsi="Calibri"/>
                <w:sz w:val="22"/>
              </w:rPr>
              <w:t>~$446K</w:t>
            </w:r>
          </w:p>
        </w:tc>
        <w:tc>
          <w:tcPr>
            <w:tcW w:type="dxa" w:w="1234"/>
          </w:tcPr>
          <w:p>
            <w:r>
              <w:rPr>
                <w:rFonts w:ascii="Calibri" w:hAnsi="Calibri"/>
                <w:sz w:val="22"/>
              </w:rPr>
              <w:t>Jul 14, 2026</w:t>
            </w:r>
          </w:p>
        </w:tc>
        <w:tc>
          <w:tcPr>
            <w:tcW w:type="dxa" w:w="1234"/>
          </w:tcPr>
          <w:p>
            <w:r>
              <w:rPr>
                <w:rFonts w:ascii="Calibri" w:hAnsi="Calibri"/>
                <w:sz w:val="22"/>
              </w:rPr>
              <w:t>Pre-scheduled 10b5-1 plan (est. Dec 8, 2025); third consecutive monthly sale of identical 2,500-share tranche; routine</w:t>
            </w:r>
          </w:p>
        </w:tc>
      </w:tr>
      <w:tr>
        <w:tc>
          <w:tcPr>
            <w:tcW w:type="dxa" w:w="1234"/>
          </w:tcPr>
          <w:p>
            <w:r>
              <w:rPr>
                <w:rFonts w:ascii="Calibri" w:hAnsi="Calibri"/>
                <w:sz w:val="22"/>
              </w:rPr>
              <w:t>Palkhiwala, Akash J.</w:t>
            </w:r>
          </w:p>
        </w:tc>
        <w:tc>
          <w:tcPr>
            <w:tcW w:type="dxa" w:w="1234"/>
          </w:tcPr>
          <w:p>
            <w:r>
              <w:rPr>
                <w:rFonts w:ascii="Calibri" w:hAnsi="Calibri"/>
                <w:sz w:val="22"/>
              </w:rPr>
              <w:t>EVP, CFO &amp; COO</w:t>
            </w:r>
          </w:p>
        </w:tc>
        <w:tc>
          <w:tcPr>
            <w:tcW w:type="dxa" w:w="1234"/>
          </w:tcPr>
          <w:p>
            <w:r>
              <w:rPr>
                <w:rFonts w:ascii="Calibri" w:hAnsi="Calibri"/>
                <w:sz w:val="22"/>
              </w:rPr>
              <w:t>10b5-1 Planned Sale</w:t>
            </w:r>
          </w:p>
        </w:tc>
        <w:tc>
          <w:tcPr>
            <w:tcW w:type="dxa" w:w="1234"/>
          </w:tcPr>
          <w:p>
            <w:r>
              <w:rPr>
                <w:rFonts w:ascii="Calibri" w:hAnsi="Calibri"/>
                <w:sz w:val="22"/>
              </w:rPr>
              <w:t>2,500</w:t>
            </w:r>
          </w:p>
        </w:tc>
        <w:tc>
          <w:tcPr>
            <w:tcW w:type="dxa" w:w="1234"/>
          </w:tcPr>
          <w:p>
            <w:r>
              <w:rPr>
                <w:rFonts w:ascii="Calibri" w:hAnsi="Calibri"/>
                <w:sz w:val="22"/>
              </w:rPr>
              <w:t>~$446K</w:t>
            </w:r>
          </w:p>
        </w:tc>
        <w:tc>
          <w:tcPr>
            <w:tcW w:type="dxa" w:w="1234"/>
          </w:tcPr>
          <w:p>
            <w:r>
              <w:rPr>
                <w:rFonts w:ascii="Calibri" w:hAnsi="Calibri"/>
                <w:sz w:val="22"/>
              </w:rPr>
              <w:t>Jun 11, 2026</w:t>
            </w:r>
          </w:p>
        </w:tc>
        <w:tc>
          <w:tcPr>
            <w:tcW w:type="dxa" w:w="1234"/>
          </w:tcPr>
          <w:p>
            <w:r>
              <w:rPr>
                <w:rFonts w:ascii="Calibri" w:hAnsi="Calibri"/>
                <w:sz w:val="22"/>
              </w:rPr>
              <w:t>Pre-scheduled 10b5-1 plan; second consecutive monthly sale of identical 2,500-share tranche; routine</w:t>
            </w:r>
          </w:p>
        </w:tc>
      </w:tr>
      <w:tr>
        <w:tc>
          <w:tcPr>
            <w:tcW w:type="dxa" w:w="1234"/>
          </w:tcPr>
          <w:p>
            <w:r>
              <w:rPr>
                <w:rFonts w:ascii="Calibri" w:hAnsi="Calibri"/>
                <w:sz w:val="22"/>
              </w:rPr>
              <w:t>Palkhiwala, Akash J.</w:t>
            </w:r>
          </w:p>
        </w:tc>
        <w:tc>
          <w:tcPr>
            <w:tcW w:type="dxa" w:w="1234"/>
          </w:tcPr>
          <w:p>
            <w:r>
              <w:rPr>
                <w:rFonts w:ascii="Calibri" w:hAnsi="Calibri"/>
                <w:sz w:val="22"/>
              </w:rPr>
              <w:t>EVP, CFO &amp; COO</w:t>
            </w:r>
          </w:p>
        </w:tc>
        <w:tc>
          <w:tcPr>
            <w:tcW w:type="dxa" w:w="1234"/>
          </w:tcPr>
          <w:p>
            <w:r>
              <w:rPr>
                <w:rFonts w:ascii="Calibri" w:hAnsi="Calibri"/>
                <w:sz w:val="22"/>
              </w:rPr>
              <w:t>10b5-1 Planned Sale</w:t>
            </w:r>
          </w:p>
        </w:tc>
        <w:tc>
          <w:tcPr>
            <w:tcW w:type="dxa" w:w="1234"/>
          </w:tcPr>
          <w:p>
            <w:r>
              <w:rPr>
                <w:rFonts w:ascii="Calibri" w:hAnsi="Calibri"/>
                <w:sz w:val="22"/>
              </w:rPr>
              <w:t>2,500</w:t>
            </w:r>
          </w:p>
        </w:tc>
        <w:tc>
          <w:tcPr>
            <w:tcW w:type="dxa" w:w="1234"/>
          </w:tcPr>
          <w:p>
            <w:r>
              <w:rPr>
                <w:rFonts w:ascii="Calibri" w:hAnsi="Calibri"/>
                <w:sz w:val="22"/>
              </w:rPr>
              <w:t>~$446K</w:t>
            </w:r>
          </w:p>
        </w:tc>
        <w:tc>
          <w:tcPr>
            <w:tcW w:type="dxa" w:w="1234"/>
          </w:tcPr>
          <w:p>
            <w:r>
              <w:rPr>
                <w:rFonts w:ascii="Calibri" w:hAnsi="Calibri"/>
                <w:sz w:val="22"/>
              </w:rPr>
              <w:t>May 12, 2026</w:t>
            </w:r>
          </w:p>
        </w:tc>
        <w:tc>
          <w:tcPr>
            <w:tcW w:type="dxa" w:w="1234"/>
          </w:tcPr>
          <w:p>
            <w:r>
              <w:rPr>
                <w:rFonts w:ascii="Calibri" w:hAnsi="Calibri"/>
                <w:sz w:val="22"/>
              </w:rPr>
              <w:t>Pre-scheduled 10b5-1 plan; first sale in the series post-earnings; routine</w:t>
            </w:r>
          </w:p>
        </w:tc>
      </w:tr>
      <w:tr>
        <w:tc>
          <w:tcPr>
            <w:tcW w:type="dxa" w:w="1234"/>
          </w:tcPr>
          <w:p>
            <w:r>
              <w:rPr>
                <w:rFonts w:ascii="Calibri" w:hAnsi="Calibri"/>
                <w:sz w:val="22"/>
              </w:rPr>
              <w:t>Amon, Cristiano R.</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10,000 (indirect, by Trust)</w:t>
            </w:r>
          </w:p>
        </w:tc>
        <w:tc>
          <w:tcPr>
            <w:tcW w:type="dxa" w:w="1234"/>
          </w:tcPr>
          <w:p>
            <w:r>
              <w:rPr>
                <w:rFonts w:ascii="Calibri" w:hAnsi="Calibri"/>
                <w:sz w:val="22"/>
              </w:rPr>
              <w:t>~$1.87M</w:t>
            </w:r>
          </w:p>
        </w:tc>
        <w:tc>
          <w:tcPr>
            <w:tcW w:type="dxa" w:w="1234"/>
          </w:tcPr>
          <w:p>
            <w:r>
              <w:rPr>
                <w:rFonts w:ascii="Calibri" w:hAnsi="Calibri"/>
                <w:sz w:val="22"/>
              </w:rPr>
              <w:t>May 5, 2026</w:t>
            </w:r>
          </w:p>
        </w:tc>
        <w:tc>
          <w:tcPr>
            <w:tcW w:type="dxa" w:w="1234"/>
          </w:tcPr>
          <w:p>
            <w:r>
              <w:rPr>
                <w:rFonts w:ascii="Calibri" w:hAnsi="Calibri"/>
                <w:sz w:val="22"/>
              </w:rPr>
              <w:t>Pre-scheduled 10b5-1 plan; indirect ownership via trust; routine</w:t>
            </w:r>
          </w:p>
        </w:tc>
      </w:tr>
      <w:tr>
        <w:tc>
          <w:tcPr>
            <w:tcW w:type="dxa" w:w="1234"/>
          </w:tcPr>
          <w:p>
            <w:r>
              <w:rPr>
                <w:rFonts w:ascii="Calibri" w:hAnsi="Calibri"/>
                <w:sz w:val="22"/>
              </w:rPr>
              <w:t>Amon, Cristiano R.</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10,000 (indirect, by Trust)</w:t>
            </w:r>
          </w:p>
        </w:tc>
        <w:tc>
          <w:tcPr>
            <w:tcW w:type="dxa" w:w="1234"/>
          </w:tcPr>
          <w:p>
            <w:r>
              <w:rPr>
                <w:rFonts w:ascii="Calibri" w:hAnsi="Calibri"/>
                <w:sz w:val="22"/>
              </w:rPr>
              <w:t>~$1.87M</w:t>
            </w:r>
          </w:p>
        </w:tc>
        <w:tc>
          <w:tcPr>
            <w:tcW w:type="dxa" w:w="1234"/>
          </w:tcPr>
          <w:p>
            <w:r>
              <w:rPr>
                <w:rFonts w:ascii="Calibri" w:hAnsi="Calibri"/>
                <w:sz w:val="22"/>
              </w:rPr>
              <w:t>May 4, 2026</w:t>
            </w:r>
          </w:p>
        </w:tc>
        <w:tc>
          <w:tcPr>
            <w:tcW w:type="dxa" w:w="1234"/>
          </w:tcPr>
          <w:p>
            <w:r>
              <w:rPr>
                <w:rFonts w:ascii="Calibri" w:hAnsi="Calibri"/>
                <w:sz w:val="22"/>
              </w:rPr>
              <w:t>Pre-scheduled 10b5-1 plan; indirect ownership via trust; routine</w:t>
            </w:r>
          </w:p>
        </w:tc>
      </w:tr>
      <w:tr>
        <w:tc>
          <w:tcPr>
            <w:tcW w:type="dxa" w:w="1234"/>
          </w:tcPr>
          <w:p>
            <w:r>
              <w:rPr>
                <w:rFonts w:ascii="Calibri" w:hAnsi="Calibri"/>
                <w:sz w:val="22"/>
              </w:rPr>
              <w:t>Ace, Heather S.</w:t>
            </w:r>
          </w:p>
        </w:tc>
        <w:tc>
          <w:tcPr>
            <w:tcW w:type="dxa" w:w="1234"/>
          </w:tcPr>
          <w:p>
            <w:r>
              <w:rPr>
                <w:rFonts w:ascii="Calibri" w:hAnsi="Calibri"/>
                <w:sz w:val="22"/>
              </w:rPr>
              <w:t>EVP, Chief HR Officer</w:t>
            </w:r>
          </w:p>
        </w:tc>
        <w:tc>
          <w:tcPr>
            <w:tcW w:type="dxa" w:w="1234"/>
          </w:tcPr>
          <w:p>
            <w:r>
              <w:rPr>
                <w:rFonts w:ascii="Calibri" w:hAnsi="Calibri"/>
                <w:sz w:val="22"/>
              </w:rPr>
              <w:t>10b5-1 Planned Sale</w:t>
            </w:r>
          </w:p>
        </w:tc>
        <w:tc>
          <w:tcPr>
            <w:tcW w:type="dxa" w:w="1234"/>
          </w:tcPr>
          <w:p>
            <w:r>
              <w:rPr>
                <w:rFonts w:ascii="Calibri" w:hAnsi="Calibri"/>
                <w:sz w:val="22"/>
              </w:rPr>
              <w:t>3,200 (indirect, by Trust)</w:t>
            </w:r>
          </w:p>
        </w:tc>
        <w:tc>
          <w:tcPr>
            <w:tcW w:type="dxa" w:w="1234"/>
          </w:tcPr>
          <w:p>
            <w:r>
              <w:rPr>
                <w:rFonts w:ascii="Calibri" w:hAnsi="Calibri"/>
                <w:sz w:val="22"/>
              </w:rPr>
              <w:t>~$600K</w:t>
            </w:r>
          </w:p>
        </w:tc>
        <w:tc>
          <w:tcPr>
            <w:tcW w:type="dxa" w:w="1234"/>
          </w:tcPr>
          <w:p>
            <w:r>
              <w:rPr>
                <w:rFonts w:ascii="Calibri" w:hAnsi="Calibri"/>
                <w:sz w:val="22"/>
              </w:rPr>
              <w:t>May 4, 2026</w:t>
            </w:r>
          </w:p>
        </w:tc>
        <w:tc>
          <w:tcPr>
            <w:tcW w:type="dxa" w:w="1234"/>
          </w:tcPr>
          <w:p>
            <w:r>
              <w:rPr>
                <w:rFonts w:ascii="Calibri" w:hAnsi="Calibri"/>
                <w:sz w:val="22"/>
              </w:rPr>
              <w:t>Pre-scheduled 10b5-1 plan; indirect ownership via trust; routine</w:t>
            </w:r>
          </w:p>
        </w:tc>
      </w:tr>
      <w:tr>
        <w:tc>
          <w:tcPr>
            <w:tcW w:type="dxa" w:w="1234"/>
          </w:tcPr>
          <w:p>
            <w:r>
              <w:rPr>
                <w:rFonts w:ascii="Calibri" w:hAnsi="Calibri"/>
                <w:sz w:val="22"/>
              </w:rPr>
              <w:t>Grech, Patricia Y.</w:t>
            </w:r>
          </w:p>
        </w:tc>
        <w:tc>
          <w:tcPr>
            <w:tcW w:type="dxa" w:w="1234"/>
          </w:tcPr>
          <w:p>
            <w:r>
              <w:rPr>
                <w:rFonts w:ascii="Calibri" w:hAnsi="Calibri"/>
                <w:sz w:val="22"/>
              </w:rPr>
              <w:t>SVP, Chief Accounting Officer</w:t>
            </w:r>
          </w:p>
        </w:tc>
        <w:tc>
          <w:tcPr>
            <w:tcW w:type="dxa" w:w="1234"/>
          </w:tcPr>
          <w:p>
            <w:r>
              <w:rPr>
                <w:rFonts w:ascii="Calibri" w:hAnsi="Calibri"/>
                <w:sz w:val="22"/>
              </w:rPr>
              <w:t>10b5-1 Planned Sale</w:t>
            </w:r>
          </w:p>
        </w:tc>
        <w:tc>
          <w:tcPr>
            <w:tcW w:type="dxa" w:w="1234"/>
          </w:tcPr>
          <w:p>
            <w:r>
              <w:rPr>
                <w:rFonts w:ascii="Calibri" w:hAnsi="Calibri"/>
                <w:sz w:val="22"/>
              </w:rPr>
              <w:t>192 (indirect, by Trust)</w:t>
            </w:r>
          </w:p>
        </w:tc>
        <w:tc>
          <w:tcPr>
            <w:tcW w:type="dxa" w:w="1234"/>
          </w:tcPr>
          <w:p>
            <w:r>
              <w:rPr>
                <w:rFonts w:ascii="Calibri" w:hAnsi="Calibri"/>
                <w:sz w:val="22"/>
              </w:rPr>
              <w:t>~$30K</w:t>
            </w:r>
          </w:p>
        </w:tc>
        <w:tc>
          <w:tcPr>
            <w:tcW w:type="dxa" w:w="1234"/>
          </w:tcPr>
          <w:p>
            <w:r>
              <w:rPr>
                <w:rFonts w:ascii="Calibri" w:hAnsi="Calibri"/>
                <w:sz w:val="22"/>
              </w:rPr>
              <w:t>Apr 30, 2026</w:t>
            </w:r>
          </w:p>
        </w:tc>
        <w:tc>
          <w:tcPr>
            <w:tcW w:type="dxa" w:w="1234"/>
          </w:tcPr>
          <w:p>
            <w:r>
              <w:rPr>
                <w:rFonts w:ascii="Calibri" w:hAnsi="Calibri"/>
                <w:sz w:val="22"/>
              </w:rPr>
              <w:t>Pre-scheduled 10b5-1 plan; very small tranche; routine</w:t>
            </w:r>
          </w:p>
        </w:tc>
      </w:tr>
    </w:tbl>
    <w:p>
      <w:r>
        <w:rPr>
          <w:rFonts w:ascii="Calibri" w:hAnsi="Calibri"/>
          <w:i/>
          <w:color w:val="525866"/>
          <w:sz w:val="22"/>
        </w:rPr>
        <w:t>Source: SEC Form 4 Filings (Insider Transaction Data)</w:t>
      </w:r>
    </w:p>
    <w:p>
      <w:r>
        <w:rPr>
          <w:rFonts w:ascii="Calibri" w:hAnsi="Calibri"/>
          <w:color w:val="525866"/>
          <w:sz w:val="22"/>
        </w:rPr>
        <w:t>All seven transactions since the April 29 earnings print are pre-scheduled 10b5-1 planned sales — none are discretionary open-market transactions. The CFO (Palkhiwala) is executing a regular monthly 2,500-share sale plan established in December 2025, and the CEO (Amon) sold via trust on May 4–5 in what appears to be a pre-scheduled plan. There are no open-market buys, no unusual clustering of sales ahead of the print, and no 10b5-1 plan initiations or terminations that would signal a change in insider sentiment. The absence of any discretionary activity is neutral — it neither confirms nor contradicts the constructive management tone expressed publicly.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