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RCL (Royal Caribbean) before writing the preview. Let me start by gathering recent filings, transcripts, and news.Let me read the most recent Q1 2026 earnings call and release for guidance details.Let me get recent stock price context and the year-ago Q2 2025 comparison figures.I have what I need. Let me write the earnings preview.</w:t>
      </w:r>
    </w:p>
    <w:bookmarkStart w:id="19" w:name="X30bdebeac520e2fcd5da5e0c26437c9ec605970"/>
    <w:p>
      <w:pPr>
        <w:pStyle w:val="Heading1"/>
      </w:pPr>
      <w:r>
        <w:t xml:space="preserve">Royal Caribbean (RCL) — Q2 2026 Earnings Preview</w:t>
      </w:r>
    </w:p>
    <w:bookmarkStart w:id="9" w:name="X78e279742b400badcfa6a3278795de87638a1a9"/>
    <w:p>
      <w:pPr>
        <w:pStyle w:val="Heading3"/>
      </w:pPr>
      <w:r>
        <w:t xml:space="preserve">Reports before the open, Tuesday, July 28, 2026 (2026Q2 Earnings Call, 10:00 a.m. ET)</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This is a quarter where the</w:t>
      </w:r>
      <w:r>
        <w:t xml:space="preserve"> </w:t>
      </w:r>
      <w:r>
        <w:rPr>
          <w:i/>
          <w:iCs/>
        </w:rPr>
        <w:t xml:space="preserve">headline</w:t>
      </w:r>
      <w:r>
        <w:t xml:space="preserve"> </w:t>
      </w:r>
      <w:r>
        <w:t xml:space="preserve">looks ugly but the</w:t>
      </w:r>
      <w:r>
        <w:t xml:space="preserve"> </w:t>
      </w:r>
      <w:r>
        <w:rPr>
          <w:i/>
          <w:iCs/>
        </w:rPr>
        <w:t xml:space="preserve">underlying</w:t>
      </w:r>
      <w:r>
        <w:t xml:space="preserve"> </w:t>
      </w:r>
      <w:r>
        <w:t xml:space="preserve">story is fine. Consensus is modeling a</w:t>
      </w:r>
      <w:r>
        <w:t xml:space="preserve"> </w:t>
      </w:r>
      <w:r>
        <w:rPr>
          <w:b/>
          <w:bCs/>
        </w:rPr>
        <w:t xml:space="preserve">year-over-year EPS decline</w:t>
      </w:r>
      <w:r>
        <w:t xml:space="preserve"> </w:t>
      </w:r>
      <w:r>
        <w:t xml:space="preserve">even as revenue grows — an artifact of fuel, drydock timing, a softer TUI contribution, and the Mediterranean/Mexico geopolitical air-pocket, not a demand problem. The debate into the print is whether management (a) reaffirms the "we've turned the corner" narrative on European bookings and (b) has enough second-half momentum to nudge up full-year guidance despite the fuel headwind.</w:t>
      </w:r>
    </w:p>
    <w:p>
      <w:r>
        <w:pict>
          <v:rect style="width:0;height:1.5pt" o:hralign="center" o:hrstd="t" o:hr="t"/>
        </w:pict>
      </w:r>
    </w:p>
    <w:bookmarkEnd w:id="10"/>
    <w:bookmarkStart w:id="11" w:name="consensus-vs-company-guidance"/>
    <w:p>
      <w:pPr>
        <w:pStyle w:val="Heading2"/>
      </w:pPr>
      <w:r>
        <w:t xml:space="preserve">Consensus vs. company guidance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Street</w:t>
            </w:r>
          </w:p>
        </w:tc>
        <w:tc>
          <w:tcPr/>
          <w:p>
            <w:pPr>
              <w:pStyle w:val="Compact"/>
            </w:pPr>
            <w:r>
              <w:t xml:space="preserve">RCL Q2 guide (given 4/30)</w:t>
            </w:r>
          </w:p>
        </w:tc>
        <w:tc>
          <w:tcPr/>
          <w:p>
            <w:pPr>
              <w:pStyle w:val="Compact"/>
            </w:pPr>
            <w:r>
              <w:t xml:space="preserve">Q2 2025 actual</w:t>
            </w:r>
          </w:p>
        </w:tc>
      </w:tr>
      <w:tr>
        <w:tc>
          <w:tcPr/>
          <w:p>
            <w:pPr>
              <w:pStyle w:val="Compact"/>
            </w:pPr>
            <w:r>
              <w:t xml:space="preserve">Revenue</w:t>
            </w:r>
          </w:p>
        </w:tc>
        <w:tc>
          <w:tcPr/>
          <w:p>
            <w:pPr>
              <w:pStyle w:val="Compact"/>
            </w:pPr>
            <w:r>
              <w:t xml:space="preserve">~$4.82B (+6.3% YoY)</w:t>
            </w:r>
          </w:p>
        </w:tc>
        <w:tc>
          <w:tcPr/>
          <w:p>
            <w:pPr>
              <w:pStyle w:val="Compact"/>
            </w:pPr>
            <w:r>
              <w:t xml:space="preserve">—</w:t>
            </w:r>
          </w:p>
        </w:tc>
        <w:tc>
          <w:tcPr/>
          <w:p>
            <w:pPr>
              <w:pStyle w:val="Compact"/>
            </w:pPr>
            <w:r>
              <w:t xml:space="preserve">$4.538B</w:t>
            </w:r>
          </w:p>
        </w:tc>
      </w:tr>
      <w:tr>
        <w:tc>
          <w:tcPr/>
          <w:p>
            <w:pPr>
              <w:pStyle w:val="Compact"/>
            </w:pPr>
            <w:r>
              <w:t xml:space="preserve">Adjusted EPS</w:t>
            </w:r>
          </w:p>
        </w:tc>
        <w:tc>
          <w:tcPr/>
          <w:p>
            <w:pPr>
              <w:pStyle w:val="Compact"/>
            </w:pPr>
            <w:r>
              <w:t xml:space="preserve">$3.95 (–9.8% YoY)</w:t>
            </w:r>
          </w:p>
        </w:tc>
        <w:tc>
          <w:tcPr/>
          <w:p>
            <w:pPr>
              <w:pStyle w:val="Compact"/>
            </w:pPr>
            <m:oMath>
              <m:r>
                <m:t>3.83</m:t>
              </m:r>
              <m:r>
                <m:rPr>
                  <m:sty m:val="p"/>
                </m:rPr>
                <m:t>–</m:t>
              </m:r>
            </m:oMath>
            <w:r>
              <w:rPr>
                <w:b/>
                <w:bCs/>
              </w:rPr>
              <w:t xml:space="preserve">3.93</w:t>
            </w:r>
          </w:p>
        </w:tc>
        <w:tc>
          <w:tcPr/>
          <w:p>
            <w:pPr>
              <w:pStyle w:val="Compact"/>
            </w:pPr>
            <w:r>
              <w:t xml:space="preserve">$4.38</w:t>
            </w:r>
          </w:p>
        </w:tc>
      </w:tr>
      <w:tr>
        <w:tc>
          <w:tcPr/>
          <w:p>
            <w:pPr>
              <w:pStyle w:val="Compact"/>
            </w:pPr>
            <w:r>
              <w:t xml:space="preserve">Net Yield (const. ccy)</w:t>
            </w:r>
          </w:p>
        </w:tc>
        <w:tc>
          <w:tcPr/>
          <w:p>
            <w:pPr>
              <w:pStyle w:val="Compact"/>
            </w:pPr>
            <w:r>
              <w:t xml:space="preserve">—</w:t>
            </w:r>
          </w:p>
        </w:tc>
        <w:tc>
          <w:tcPr/>
          <w:p>
            <w:pPr>
              <w:pStyle w:val="Compact"/>
            </w:pPr>
            <w:r>
              <w:t xml:space="preserve">~+0.2%</w:t>
            </w:r>
          </w:p>
        </w:tc>
        <w:tc>
          <w:tcPr/>
          <w:p>
            <w:pPr>
              <w:pStyle w:val="Compact"/>
            </w:pPr>
            <w:r>
              <w:t xml:space="preserve">+5.2%</w:t>
            </w:r>
          </w:p>
        </w:tc>
      </w:tr>
      <w:tr>
        <w:tc>
          <w:tcPr/>
          <w:p>
            <w:pPr>
              <w:pStyle w:val="Compact"/>
            </w:pPr>
            <w:r>
              <w:t xml:space="preserve">NCC ex-fuel (const. ccy)</w:t>
            </w:r>
          </w:p>
        </w:tc>
        <w:tc>
          <w:tcPr/>
          <w:p>
            <w:pPr>
              <w:pStyle w:val="Compact"/>
            </w:pPr>
            <w:r>
              <w:t xml:space="preserve">—</w:t>
            </w:r>
          </w:p>
        </w:tc>
        <w:tc>
          <w:tcPr/>
          <w:p>
            <w:pPr>
              <w:pStyle w:val="Compact"/>
            </w:pPr>
            <w:r>
              <w:t xml:space="preserve">+4.6% to +5.1%</w:t>
            </w:r>
          </w:p>
        </w:tc>
        <w:tc>
          <w:tcPr/>
          <w:p>
            <w:pPr>
              <w:pStyle w:val="Compact"/>
            </w:pPr>
            <w:r>
              <w:t xml:space="preserve">+2.1%</w:t>
            </w:r>
          </w:p>
        </w:tc>
      </w:tr>
      <w:tr>
        <w:tc>
          <w:tcPr/>
          <w:p>
            <w:pPr>
              <w:pStyle w:val="Compact"/>
            </w:pPr>
            <w:r>
              <w:t xml:space="preserve">Capacity (APCD)</w:t>
            </w:r>
          </w:p>
        </w:tc>
        <w:tc>
          <w:tcPr/>
          <w:p>
            <w:pPr>
              <w:pStyle w:val="Compact"/>
            </w:pPr>
            <w:r>
              <w:t xml:space="preserve">—</w:t>
            </w:r>
          </w:p>
        </w:tc>
        <w:tc>
          <w:tcPr/>
          <w:p>
            <w:pPr>
              <w:pStyle w:val="Compact"/>
            </w:pPr>
            <w:r>
              <w:t xml:space="preserve">+4.9% (13.6M APCD)</w:t>
            </w:r>
          </w:p>
        </w:tc>
        <w:tc>
          <w:tcPr/>
          <w:p>
            <w:pPr>
              <w:pStyle w:val="Compact"/>
            </w:pPr>
            <w:r>
              <w:t xml:space="preserve">+5.8%</w:t>
            </w:r>
          </w:p>
        </w:tc>
      </w:tr>
    </w:tbl>
    <w:p>
      <w:pPr>
        <w:pStyle w:val="BodyText"/>
      </w:pPr>
      <w:r>
        <w:t xml:space="preserve">Consensus EPS of $3.95 sits</w:t>
      </w:r>
      <w:r>
        <w:t xml:space="preserve"> </w:t>
      </w:r>
      <w:r>
        <w:rPr>
          <w:b/>
          <w:bCs/>
        </w:rPr>
        <w:t xml:space="preserve">just above the top of the company's own</w:t>
      </w:r>
      <w:r>
        <w:rPr>
          <w:b/>
          <w:bCs/>
        </w:rPr>
        <w:t xml:space="preserve"> </w:t>
      </w:r>
      <m:oMath>
        <m:r>
          <m:t>3.83</m:t>
        </m:r>
        <m:r>
          <m:rPr>
            <m:sty m:val="p"/>
          </m:rPr>
          <m:t>–</m:t>
        </m:r>
      </m:oMath>
      <w:r>
        <w:rPr>
          <w:b/>
          <w:bCs/>
        </w:rPr>
        <w:t xml:space="preserve">3.93 guide</w:t>
      </w:r>
      <w:r>
        <w:t xml:space="preserve">, so the bar for a "beat" is essentially the high end of the guide. Given RCL's track record (Q1 2026 adjusted EPS of $3.60 came in $0.37 above the guidance midpoint, and Q2 2025 blew past its range), a modest beat on the quarter is the base case — the market reaction will hinge on the full-year revision and booking commentary, not the Q2 number.</w:t>
      </w:r>
    </w:p>
    <w:p>
      <w:r>
        <w:pict>
          <v:rect style="width:0;height:1.5pt" o:hralign="center" o:hrstd="t" o:hr="t"/>
        </w:pict>
      </w:r>
    </w:p>
    <w:bookmarkEnd w:id="11"/>
    <w:bookmarkStart w:id="12" w:name="X1bca373198d6ae59142f0de733f4da30792138d"/>
    <w:p>
      <w:pPr>
        <w:pStyle w:val="Heading2"/>
      </w:pPr>
      <w:r>
        <w:t xml:space="preserve">Why EPS falls YoY (the bridge that matters)</w:t>
      </w:r>
    </w:p>
    <w:p>
      <w:pPr>
        <w:pStyle w:val="FirstParagraph"/>
      </w:pPr>
      <w:r>
        <w:t xml:space="preserve">Don't read the ~10% EPS decline as deterioration. Management explicitly said Q2 adjusted EPS growth</w:t>
      </w:r>
      <w:r>
        <w:t xml:space="preserve"> </w:t>
      </w:r>
      <w:r>
        <w:rPr>
          <w:b/>
          <w:bCs/>
        </w:rPr>
        <w:t xml:space="preserve">would have been ~11%</w:t>
      </w:r>
      <w:r>
        <w:t xml:space="preserve"> </w:t>
      </w:r>
      <w:r>
        <w:t xml:space="preserve">excluding non-comparable items. The drag is:</w:t>
      </w:r>
    </w:p>
    <w:p>
      <w:pPr>
        <w:pStyle w:val="Compact"/>
        <w:numPr>
          <w:ilvl w:val="0"/>
          <w:numId w:val="1001"/>
        </w:numPr>
      </w:pPr>
      <w:r>
        <w:rPr>
          <w:b/>
          <w:bCs/>
        </w:rPr>
        <w:t xml:space="preserve">Fuel</w:t>
      </w:r>
      <w:r>
        <w:t xml:space="preserve"> </w:t>
      </w:r>
      <w:r>
        <w:t xml:space="preserve">— the single biggest swing. The Middle East conflict pushed spot bunker prices up; RCL baked a **</w:t>
      </w:r>
      <m:oMath>
        <m:r>
          <m:t>0.62</m:t>
        </m:r>
        <m:r>
          <m:rPr>
            <m:sty m:val="p"/>
          </m:rPr>
          <m:t>/</m:t>
        </m:r>
        <m:r>
          <m:t>s</m:t>
        </m:r>
        <m:r>
          <m:t>h</m:t>
        </m:r>
        <m:r>
          <m:t>a</m:t>
        </m:r>
        <m:r>
          <m:t>r</m:t>
        </m:r>
        <m:r>
          <m:t>e</m:t>
        </m:r>
        <m:r>
          <m:t>f</m:t>
        </m:r>
        <m:r>
          <m:t>u</m:t>
        </m:r>
        <m:r>
          <m:t>l</m:t>
        </m:r>
        <m:r>
          <m:t>l</m:t>
        </m:r>
        <m:r>
          <m:rPr>
            <m:sty m:val="p"/>
          </m:rPr>
          <m:t>−</m:t>
        </m:r>
        <m:r>
          <m:t>y</m:t>
        </m:r>
        <m:r>
          <m:t>e</m:t>
        </m:r>
        <m:r>
          <m:t>a</m:t>
        </m:r>
        <m:r>
          <m:t>r</m:t>
        </m:r>
        <m:r>
          <m:t>f</m:t>
        </m:r>
        <m:r>
          <m:t>u</m:t>
        </m:r>
        <m:r>
          <m:t>e</m:t>
        </m:r>
        <m:r>
          <m:t>l</m:t>
        </m:r>
        <m:r>
          <m:t>h</m:t>
        </m:r>
        <m:r>
          <m:t>e</m:t>
        </m:r>
        <m:r>
          <m:t>a</m:t>
        </m:r>
        <m:r>
          <m:t>d</m:t>
        </m:r>
        <m:r>
          <m:t>w</m:t>
        </m:r>
        <m:r>
          <m:t>i</m:t>
        </m:r>
        <m:r>
          <m:t>n</m:t>
        </m:r>
        <m:r>
          <m:t>d</m:t>
        </m:r>
        <m:r>
          <m:rPr>
            <m:sty m:val="p"/>
          </m:rPr>
          <m:t>*</m:t>
        </m:r>
        <m:r>
          <m:rPr>
            <m:sty m:val="p"/>
          </m:rPr>
          <m:t>*</m:t>
        </m:r>
        <m:r>
          <m:t>i</m:t>
        </m:r>
        <m:r>
          <m:t>n</m:t>
        </m:r>
        <m:r>
          <m:t>t</m:t>
        </m:r>
        <m:r>
          <m:t>o</m:t>
        </m:r>
        <m:r>
          <m:t>g</m:t>
        </m:r>
        <m:r>
          <m:t>u</m:t>
        </m:r>
        <m:r>
          <m:t>i</m:t>
        </m:r>
        <m:r>
          <m:t>d</m:t>
        </m:r>
        <m:r>
          <m:t>a</m:t>
        </m:r>
        <m:r>
          <m:t>n</m:t>
        </m:r>
        <m:r>
          <m:t>c</m:t>
        </m:r>
        <m:r>
          <m:t>e</m:t>
        </m:r>
        <m:r>
          <m:rPr>
            <m:sty m:val="p"/>
          </m:rPr>
          <m:t>(</m:t>
        </m:r>
        <m:r>
          <m:t>f</m:t>
        </m:r>
        <m:r>
          <m:t>u</m:t>
        </m:r>
        <m:r>
          <m:t>e</m:t>
        </m:r>
        <m:r>
          <m:t>l</m:t>
        </m:r>
        <m:r>
          <m:t>e</m:t>
        </m:r>
        <m:r>
          <m:t>x</m:t>
        </m:r>
        <m:r>
          <m:t>p</m:t>
        </m:r>
        <m:r>
          <m:t>e</m:t>
        </m:r>
        <m:r>
          <m:t>n</m:t>
        </m:r>
        <m:r>
          <m:t>s</m:t>
        </m:r>
        <m:r>
          <m:t>e</m:t>
        </m:r>
        <m:r>
          <m:t> </m:t>
        </m:r>
      </m:oMath>
      <w:r>
        <w:t xml:space="preserve">1.35B for 2026 vs. $1.14B in 2025). Note RCL guides on</w:t>
      </w:r>
      <w:r>
        <w:t xml:space="preserve"> </w:t>
      </w:r>
      <w:r>
        <w:rPr>
          <w:i/>
          <w:iCs/>
        </w:rPr>
        <w:t xml:space="preserve">at-the-pump</w:t>
      </w:r>
      <w:r>
        <w:t xml:space="preserve"> </w:t>
      </w:r>
      <w:r>
        <w:t xml:space="preserve">spot rates and says the bill would be ~4% lower on the forward curve — a potential source of upside if oil has eased.</w:t>
      </w:r>
    </w:p>
    <w:p>
      <w:pPr>
        <w:pStyle w:val="Compact"/>
        <w:numPr>
          <w:ilvl w:val="0"/>
          <w:numId w:val="1001"/>
        </w:numPr>
      </w:pPr>
      <w:r>
        <w:rPr>
          <w:b/>
          <w:bCs/>
        </w:rPr>
        <w:t xml:space="preserve">Drydock timing &amp; crew movement costs</w:t>
      </w:r>
      <w:r>
        <w:t xml:space="preserve"> </w:t>
      </w:r>
      <w:r>
        <w:t xml:space="preserve">— Q2 carries ~400 bps of NCC ex-fuel headwind from extra drydock days and elevated crew travel (a knock-on from the same air-travel disruption).</w:t>
      </w:r>
    </w:p>
    <w:p>
      <w:pPr>
        <w:pStyle w:val="Compact"/>
        <w:numPr>
          <w:ilvl w:val="0"/>
          <w:numId w:val="1001"/>
        </w:numPr>
      </w:pPr>
      <w:r>
        <w:rPr>
          <w:b/>
          <w:bCs/>
        </w:rPr>
        <w:t xml:space="preserve">TUI Cruises (JV)</w:t>
      </w:r>
      <w:r>
        <w:t xml:space="preserve"> </w:t>
      </w:r>
      <w:r>
        <w:t xml:space="preserve">— a ~$0.12/share full-year headwind as two Mein Schiff ships were pulled out of the Middle East and repositioned to the Med.</w:t>
      </w:r>
    </w:p>
    <w:p>
      <w:pPr>
        <w:pStyle w:val="Compact"/>
        <w:numPr>
          <w:ilvl w:val="0"/>
          <w:numId w:val="1001"/>
        </w:numPr>
      </w:pPr>
      <w:r>
        <w:rPr>
          <w:b/>
          <w:bCs/>
        </w:rPr>
        <w:t xml:space="preserve">Geopolitical yield hit</w:t>
      </w:r>
      <w:r>
        <w:t xml:space="preserve"> </w:t>
      </w:r>
      <w:r>
        <w:t xml:space="preserve">— ~200 bps of yield headwind in Q2 (and a similar hit expected in Q3) from the Med and West Coast of Mexico softness.</w:t>
      </w:r>
    </w:p>
    <w:p>
      <w:r>
        <w:pict>
          <v:rect style="width:0;height:1.5pt" o:hralign="center" o:hrstd="t" o:hr="t"/>
        </w:pict>
      </w:r>
    </w:p>
    <w:bookmarkEnd w:id="12"/>
    <w:bookmarkStart w:id="13" w:name="the-five-things-id-watch-on-the-call"/>
    <w:p>
      <w:pPr>
        <w:pStyle w:val="Heading2"/>
      </w:pPr>
      <w:r>
        <w:t xml:space="preserve">The five things I'd watch on the call</w:t>
      </w:r>
    </w:p>
    <w:p>
      <w:pPr>
        <w:pStyle w:val="FirstParagraph"/>
      </w:pPr>
      <w:r>
        <w:rPr>
          <w:b/>
          <w:bCs/>
        </w:rPr>
        <w:t xml:space="preserve">1. Has the Mediterranean rebound held?</w:t>
      </w:r>
      <w:r>
        <w:t xml:space="preserve"> </w:t>
      </w:r>
      <w:r>
        <w:t xml:space="preserve">In April, management was emphatic — not "turning" but</w:t>
      </w:r>
      <w:r>
        <w:t xml:space="preserve"> </w:t>
      </w:r>
      <w:r>
        <w:rPr>
          <w:i/>
          <w:iCs/>
        </w:rPr>
        <w:t xml:space="preserve">"turned the corner"</w:t>
      </w:r>
      <w:r>
        <w:t xml:space="preserve"> </w:t>
      </w:r>
      <w:r>
        <w:t xml:space="preserve">— with Med bookings rebounding on the limited remaining inventory, and April total bookings running ahead of last year at record prices. The key question: did the recovery sustain through the summer sailing season, and is there any read-through to 2027 Europe (management insists there is none — Europe softness is a 2026-only, near-term event). Any confirmation that 2027 Med bookings are strong would de-risk the "smiley-face" yield story.</w:t>
      </w:r>
    </w:p>
    <w:p>
      <w:pPr>
        <w:pStyle w:val="BodyText"/>
      </w:pPr>
      <w:r>
        <w:rPr>
          <w:b/>
          <w:bCs/>
        </w:rPr>
        <w:t xml:space="preserve">2. The 2H yield "smiley face."</w:t>
      </w:r>
      <w:r>
        <w:t xml:space="preserve"> </w:t>
      </w:r>
      <w:r>
        <w:t xml:space="preserve">Full-year net yield guidance is +1.5–2.5% (const. ccy), but Q2/Q3 are depressed (~flat to +0.2% in Q2) by Europe. That mathematically requires a</w:t>
      </w:r>
      <w:r>
        <w:t xml:space="preserve"> </w:t>
      </w:r>
      <w:r>
        <w:rPr>
          <w:b/>
          <w:bCs/>
        </w:rPr>
        <w:t xml:space="preserve">mid-single-digit Q4 yield acceleration</w:t>
      </w:r>
      <w:r>
        <w:t xml:space="preserve"> </w:t>
      </w:r>
      <w:r>
        <w:t xml:space="preserve">to hit the full-year midpoint. Management pointed to a strong Q4 booked position, an easier comp, and the Legend of the Seas contribution as support. Watch whether Q3 guidance and Q4 commentary keep that math credible.</w:t>
      </w:r>
    </w:p>
    <w:p>
      <w:pPr>
        <w:pStyle w:val="BodyText"/>
      </w:pPr>
      <w:r>
        <w:rPr>
          <w:b/>
          <w:bCs/>
        </w:rPr>
        <w:t xml:space="preserve">3. Full-year guidance: raise, hold, or fuel-offset?</w:t>
      </w:r>
      <w:r>
        <w:t xml:space="preserve"> </w:t>
      </w:r>
      <w:r>
        <w:t xml:space="preserve">The tension is a good operating quarter + buyback benefit vs. the fuel/geopolitical drag. Management framed the Q1 guidance cut as</w:t>
      </w:r>
      <w:r>
        <w:t xml:space="preserve"> </w:t>
      </w:r>
      <w:r>
        <w:rPr>
          <w:i/>
          <w:iCs/>
        </w:rPr>
        <w:t xml:space="preserve">entirely</w:t>
      </w:r>
      <w:r>
        <w:t xml:space="preserve"> </w:t>
      </w:r>
      <w:r>
        <w:t xml:space="preserve">region-specific (Med + Mexico) with the rest of the portfolio unchanged from January. If the Med has genuinely recovered and fuel has eased off spot peaks, there's room to at least reaffirm — and possibly edge up — the</w:t>
      </w:r>
      <w:r>
        <w:t xml:space="preserve"> </w:t>
      </w:r>
      <m:oMath>
        <m:r>
          <m:t>17.10</m:t>
        </m:r>
        <m:r>
          <m:rPr>
            <m:sty m:val="p"/>
          </m:rPr>
          <m:t>–</m:t>
        </m:r>
      </m:oMath>
      <w:r>
        <w:rPr>
          <w:b/>
          <w:bCs/>
        </w:rPr>
        <w:t xml:space="preserve">17.50</w:t>
      </w:r>
      <w:r>
        <w:t xml:space="preserve"> </w:t>
      </w:r>
      <w:r>
        <w:t xml:space="preserve">range (11% growth, ~21% CAGR into the Perfecta program).</w:t>
      </w:r>
    </w:p>
    <w:p>
      <w:pPr>
        <w:pStyle w:val="BodyText"/>
      </w:pPr>
      <w:r>
        <w:rPr>
          <w:b/>
          <w:bCs/>
        </w:rPr>
        <w:t xml:space="preserve">4. Caribbean pricing amid heavy industry capacity.</w:t>
      </w:r>
      <w:r>
        <w:t xml:space="preserve"> </w:t>
      </w:r>
      <w:r>
        <w:t xml:space="preserve">The Caribbean is 57% of 2026 deployment (50% in Q2). Bears have flagged elevated industry supply; management's rebuttal is that RCL "owns" the Caribbean via Perfect Day at CocoCay, the new Royal Beach Clubs, and Icon-class hardware, and expects</w:t>
      </w:r>
      <w:r>
        <w:t xml:space="preserve"> </w:t>
      </w:r>
      <w:r>
        <w:rPr>
          <w:b/>
          <w:bCs/>
        </w:rPr>
        <w:t xml:space="preserve">positive Caribbean yields</w:t>
      </w:r>
      <w:r>
        <w:t xml:space="preserve"> </w:t>
      </w:r>
      <w:r>
        <w:t xml:space="preserve">for the year. Any softening here would be a bigger deal than the transient Europe issue.</w:t>
      </w:r>
    </w:p>
    <w:p>
      <w:pPr>
        <w:pStyle w:val="BodyText"/>
      </w:pPr>
      <w:r>
        <w:rPr>
          <w:b/>
          <w:bCs/>
        </w:rPr>
        <w:t xml:space="preserve">5. Cost discipline.</w:t>
      </w:r>
      <w:r>
        <w:t xml:space="preserve"> </w:t>
      </w:r>
      <w:r>
        <w:t xml:space="preserve">NCC ex-fuel is guided to ~flat (const. ccy) for the full year despite Q2's ~400 bps of drydock/crew headwind, implying meaningful 2H deceleration. RCL has consistently beaten on costs (Q1 came in below guide). Watch for reaffirmation of the "moderate capacity / moderate yield / strong cost control" formula and the yield-cost spread.</w:t>
      </w:r>
    </w:p>
    <w:p>
      <w:r>
        <w:pict>
          <v:rect style="width:0;height:1.5pt" o:hralign="center" o:hrstd="t" o:hr="t"/>
        </w:pict>
      </w:r>
    </w:p>
    <w:bookmarkEnd w:id="13"/>
    <w:bookmarkStart w:id="14" w:name="demand-and-consumer-signals"/>
    <w:p>
      <w:pPr>
        <w:pStyle w:val="Heading2"/>
      </w:pPr>
      <w:r>
        <w:t xml:space="preserve">Demand and consumer signals</w:t>
      </w:r>
    </w:p>
    <w:p>
      <w:pPr>
        <w:pStyle w:val="FirstParagraph"/>
      </w:pPr>
      <w:r>
        <w:t xml:space="preserve">Management's consumer read has stayed unambiguously positive: a record WAVE season, a healthy North American consumer with "excess cash," onboard spend above prior years, and &gt;70% pre-cruise purchase penetration. Two structural tailwinds worth listening for updates on:</w:t>
      </w:r>
    </w:p>
    <w:p>
      <w:pPr>
        <w:pStyle w:val="Compact"/>
        <w:numPr>
          <w:ilvl w:val="0"/>
          <w:numId w:val="1002"/>
        </w:numPr>
      </w:pPr>
      <w:r>
        <w:rPr>
          <w:b/>
          <w:bCs/>
        </w:rPr>
        <w:t xml:space="preserve">Repeat/loyalty mix rising</w:t>
      </w:r>
      <w:r>
        <w:t xml:space="preserve"> </w:t>
      </w:r>
      <w:r>
        <w:t xml:space="preserve">— repeat guests are now ~40% of bookings (historically ~1/3), and they spend ~25% more. The new</w:t>
      </w:r>
      <w:r>
        <w:t xml:space="preserve"> </w:t>
      </w:r>
      <w:r>
        <w:rPr>
          <w:b/>
          <w:bCs/>
        </w:rPr>
        <w:t xml:space="preserve">Royal ONE co-branded credit card</w:t>
      </w:r>
      <w:r>
        <w:t xml:space="preserve"> </w:t>
      </w:r>
      <w:r>
        <w:t xml:space="preserve">(spanning all three brands), Status Match, and Points Choice are the levers.</w:t>
      </w:r>
    </w:p>
    <w:p>
      <w:pPr>
        <w:pStyle w:val="Compact"/>
        <w:numPr>
          <w:ilvl w:val="0"/>
          <w:numId w:val="1002"/>
        </w:numPr>
      </w:pPr>
      <w:r>
        <w:t xml:space="preserve">The near-term watch item earlier in the year was</w:t>
      </w:r>
      <w:r>
        <w:t xml:space="preserve"> </w:t>
      </w:r>
      <w:r>
        <w:rPr>
          <w:b/>
          <w:bCs/>
        </w:rPr>
        <w:t xml:space="preserve">higher airfares to Europe</w:t>
      </w:r>
      <w:r>
        <w:t xml:space="preserve"> </w:t>
      </w:r>
      <w:r>
        <w:t xml:space="preserve">(spiked &gt;40%, since moderated to ~15%) and travel friction pushing some U.S. guests toward drivable itineraries. A clean update here would ease lingering concern.</w:t>
      </w:r>
    </w:p>
    <w:p>
      <w:r>
        <w:pict>
          <v:rect style="width:0;height:1.5pt" o:hralign="center" o:hrstd="t" o:hr="t"/>
        </w:pict>
      </w:r>
    </w:p>
    <w:bookmarkEnd w:id="14"/>
    <w:bookmarkStart w:id="15" w:name="balance-sheet--capital-return"/>
    <w:p>
      <w:pPr>
        <w:pStyle w:val="Heading2"/>
      </w:pPr>
      <w:r>
        <w:t xml:space="preserve">Balance sheet &amp; capital return</w:t>
      </w:r>
    </w:p>
    <w:p>
      <w:pPr>
        <w:pStyle w:val="FirstParagraph"/>
      </w:pPr>
      <w:r>
        <w:t xml:space="preserve">RCL entered Q2 with</w:t>
      </w:r>
      <w:r>
        <w:t xml:space="preserve"> </w:t>
      </w:r>
      <m:oMath>
        <m:r>
          <m:t>6.9</m:t>
        </m:r>
        <m:r>
          <m:t>B</m:t>
        </m:r>
        <m:r>
          <m:t>l</m:t>
        </m:r>
        <m:r>
          <m:t>i</m:t>
        </m:r>
        <m:r>
          <m:t>q</m:t>
        </m:r>
        <m:r>
          <m:t>u</m:t>
        </m:r>
        <m:r>
          <m:t>i</m:t>
        </m:r>
        <m:r>
          <m:t>d</m:t>
        </m:r>
        <m:r>
          <m:t>i</m:t>
        </m:r>
        <m:r>
          <m:t>t</m:t>
        </m:r>
        <m:r>
          <m:t>y</m:t>
        </m:r>
        <m:r>
          <m:rPr>
            <m:sty m:val="p"/>
          </m:rPr>
          <m:t>,</m:t>
        </m:r>
        <m:r>
          <m:t>l</m:t>
        </m:r>
        <m:r>
          <m:t>e</m:t>
        </m:r>
        <m:r>
          <m:t>v</m:t>
        </m:r>
        <m:r>
          <m:t>e</m:t>
        </m:r>
        <m:r>
          <m:t>r</m:t>
        </m:r>
        <m:r>
          <m:t>a</m:t>
        </m:r>
        <m:r>
          <m:t>g</m:t>
        </m:r>
        <m:r>
          <m:t>e</m:t>
        </m:r>
        <m:r>
          <m:t>b</m:t>
        </m:r>
        <m:r>
          <m:t>e</m:t>
        </m:r>
        <m:r>
          <m:t>l</m:t>
        </m:r>
        <m:r>
          <m:t>o</m:t>
        </m:r>
        <m:r>
          <m:t>w</m:t>
        </m:r>
        <m:r>
          <m:t>3</m:t>
        </m:r>
        <m:r>
          <m:t>x</m:t>
        </m:r>
        <m:r>
          <m:rPr>
            <m:sty m:val="p"/>
          </m:rPr>
          <m:t>*</m:t>
        </m:r>
        <m:r>
          <m:rPr>
            <m:sty m:val="p"/>
          </m:rPr>
          <m:t>*</m:t>
        </m:r>
        <m:r>
          <m:rPr>
            <m:sty m:val="p"/>
          </m:rPr>
          <m:t>,</m:t>
        </m:r>
        <m:r>
          <m:t>a</m:t>
        </m:r>
        <m:r>
          <m:t>n</m:t>
        </m:r>
        <m:r>
          <m:t>d</m:t>
        </m:r>
        <m:r>
          <m:t>i</m:t>
        </m:r>
        <m:r>
          <m:t>n</m:t>
        </m:r>
        <m:r>
          <m:t>v</m:t>
        </m:r>
        <m:r>
          <m:t>e</m:t>
        </m:r>
        <m:r>
          <m:t>s</m:t>
        </m:r>
        <m:r>
          <m:t>t</m:t>
        </m:r>
        <m:r>
          <m:t>m</m:t>
        </m:r>
        <m:r>
          <m:t>e</m:t>
        </m:r>
        <m:r>
          <m:t>n</m:t>
        </m:r>
        <m:r>
          <m:t>t</m:t>
        </m:r>
        <m:r>
          <m:rPr>
            <m:sty m:val="p"/>
          </m:rPr>
          <m:t>−</m:t>
        </m:r>
        <m:r>
          <m:t>g</m:t>
        </m:r>
        <m:r>
          <m:t>r</m:t>
        </m:r>
        <m:r>
          <m:t>a</m:t>
        </m:r>
        <m:r>
          <m:t>d</m:t>
        </m:r>
        <m:r>
          <m:t>e</m:t>
        </m:r>
        <m:r>
          <m:t>r</m:t>
        </m:r>
        <m:r>
          <m:t>a</m:t>
        </m:r>
        <m:r>
          <m:t>t</m:t>
        </m:r>
        <m:r>
          <m:t>i</m:t>
        </m:r>
        <m:r>
          <m:t>n</m:t>
        </m:r>
        <m:r>
          <m:t>g</m:t>
        </m:r>
        <m:r>
          <m:t>s</m:t>
        </m:r>
        <m:r>
          <m:t>f</m:t>
        </m:r>
        <m:r>
          <m:t>r</m:t>
        </m:r>
        <m:r>
          <m:t>o</m:t>
        </m:r>
        <m:r>
          <m:t>m</m:t>
        </m:r>
        <m:r>
          <m:t>a</m:t>
        </m:r>
        <m:r>
          <m:t>l</m:t>
        </m:r>
        <m:r>
          <m:t>l</m:t>
        </m:r>
        <m:r>
          <m:t>t</m:t>
        </m:r>
        <m:r>
          <m:t>h</m:t>
        </m:r>
        <m:r>
          <m:t>r</m:t>
        </m:r>
        <m:r>
          <m:t>e</m:t>
        </m:r>
        <m:r>
          <m:t>e</m:t>
        </m:r>
        <m:r>
          <m:t>a</m:t>
        </m:r>
        <m:r>
          <m:t>g</m:t>
        </m:r>
        <m:r>
          <m:t>e</m:t>
        </m:r>
        <m:r>
          <m:t>n</m:t>
        </m:r>
        <m:r>
          <m:t>c</m:t>
        </m:r>
        <m:r>
          <m:t>i</m:t>
        </m:r>
        <m:r>
          <m:t>e</m:t>
        </m:r>
        <m:r>
          <m:t>s</m:t>
        </m:r>
        <m:r>
          <m:rPr>
            <m:sty m:val="p"/>
          </m:rPr>
          <m:t>.</m:t>
        </m:r>
        <m:r>
          <m:t>I</m:t>
        </m:r>
        <m:r>
          <m:t>t</m:t>
        </m:r>
        <m:r>
          <m:t>b</m:t>
        </m:r>
        <m:r>
          <m:t>o</m:t>
        </m:r>
        <m:r>
          <m:t>u</m:t>
        </m:r>
        <m:r>
          <m:t>g</m:t>
        </m:r>
        <m:r>
          <m:t>h</m:t>
        </m:r>
        <m:r>
          <m:t>t</m:t>
        </m:r>
        <m:r>
          <m:t>b</m:t>
        </m:r>
        <m:r>
          <m:t>a</m:t>
        </m:r>
        <m:r>
          <m:t>c</m:t>
        </m:r>
        <m:r>
          <m:t>k</m:t>
        </m:r>
        <m:r>
          <m:rPr>
            <m:sty m:val="p"/>
          </m:rPr>
          <m:t>*</m:t>
        </m:r>
        <m:r>
          <m:rPr>
            <m:sty m:val="p"/>
          </m:rPr>
          <m:t>*</m:t>
        </m:r>
      </m:oMath>
      <w:r>
        <w:rPr>
          <w:b/>
          <w:bCs/>
        </w:rPr>
        <w:t xml:space="preserve">836M of stock in Q1</w:t>
      </w:r>
      <w:r>
        <w:t xml:space="preserve"> </w:t>
      </w:r>
      <w:r>
        <w:t xml:space="preserve">(with $1.0B left on the authorization) and pays a growing dividend —</w:t>
      </w:r>
      <w:r>
        <w:t xml:space="preserve"> </w:t>
      </w:r>
      <m:oMath>
        <m:r>
          <m:t>1.1</m:t>
        </m:r>
        <m:r>
          <m:t>B</m:t>
        </m:r>
        <m:r>
          <m:t>r</m:t>
        </m:r>
        <m:r>
          <m:t>e</m:t>
        </m:r>
        <m:r>
          <m:t>t</m:t>
        </m:r>
        <m:r>
          <m:t>u</m:t>
        </m:r>
        <m:r>
          <m:t>r</m:t>
        </m:r>
        <m:r>
          <m:t>n</m:t>
        </m:r>
        <m:r>
          <m:t>e</m:t>
        </m:r>
        <m:r>
          <m:t>d</m:t>
        </m:r>
        <m:r>
          <m:t>t</m:t>
        </m:r>
        <m:r>
          <m:t>o</m:t>
        </m:r>
        <m:r>
          <m:t>s</m:t>
        </m:r>
        <m:r>
          <m:t>h</m:t>
        </m:r>
        <m:r>
          <m:t>a</m:t>
        </m:r>
        <m:r>
          <m:t>r</m:t>
        </m:r>
        <m:r>
          <m:t>e</m:t>
        </m:r>
        <m:r>
          <m:t>h</m:t>
        </m:r>
        <m:r>
          <m:t>o</m:t>
        </m:r>
        <m:r>
          <m:t>l</m:t>
        </m:r>
        <m:r>
          <m:t>d</m:t>
        </m:r>
        <m:r>
          <m:t>e</m:t>
        </m:r>
        <m:r>
          <m:t>r</m:t>
        </m:r>
        <m:r>
          <m:t>s</m:t>
        </m:r>
        <m:r>
          <m:t>i</m:t>
        </m:r>
        <m:r>
          <m:t>n</m:t>
        </m:r>
        <m:r>
          <m:t>Q</m:t>
        </m:r>
        <m:r>
          <m:t>1</m:t>
        </m:r>
        <m:r>
          <m:t>a</m:t>
        </m:r>
        <m:r>
          <m:t>l</m:t>
        </m:r>
        <m:r>
          <m:t>o</m:t>
        </m:r>
        <m:r>
          <m:t>n</m:t>
        </m:r>
        <m:r>
          <m:t>e</m:t>
        </m:r>
        <m:r>
          <m:rPr>
            <m:sty m:val="p"/>
          </m:rPr>
          <m:t>.</m:t>
        </m:r>
        <m:r>
          <m:t>B</m:t>
        </m:r>
        <m:r>
          <m:t>u</m:t>
        </m:r>
        <m:r>
          <m:t>y</m:t>
        </m:r>
        <m:r>
          <m:t>b</m:t>
        </m:r>
        <m:r>
          <m:t>a</m:t>
        </m:r>
        <m:r>
          <m:t>c</m:t>
        </m:r>
        <m:r>
          <m:t>k</m:t>
        </m:r>
        <m:r>
          <m:t>p</m:t>
        </m:r>
        <m:r>
          <m:t>a</m:t>
        </m:r>
        <m:r>
          <m:t>c</m:t>
        </m:r>
        <m:r>
          <m:t>e</m:t>
        </m:r>
        <m:r>
          <m:t>i</m:t>
        </m:r>
        <m:r>
          <m:t>s</m:t>
        </m:r>
        <m:r>
          <m:t>a</m:t>
        </m:r>
        <m:r>
          <m:t>s</m:t>
        </m:r>
        <m:r>
          <m:t>w</m:t>
        </m:r>
        <m:r>
          <m:t>i</m:t>
        </m:r>
        <m:r>
          <m:t>n</m:t>
        </m:r>
        <m:r>
          <m:t>g</m:t>
        </m:r>
        <m:r>
          <m:t>f</m:t>
        </m:r>
        <m:r>
          <m:t>a</m:t>
        </m:r>
        <m:r>
          <m:t>c</m:t>
        </m:r>
        <m:r>
          <m:t>t</m:t>
        </m:r>
        <m:r>
          <m:t>o</m:t>
        </m:r>
        <m:r>
          <m:t>r</m:t>
        </m:r>
        <m:r>
          <m:t>f</m:t>
        </m:r>
        <m:r>
          <m:t>o</m:t>
        </m:r>
        <m:r>
          <m:t>r</m:t>
        </m:r>
        <m:r>
          <m:t>E</m:t>
        </m:r>
        <m:r>
          <m:t>P</m:t>
        </m:r>
        <m:r>
          <m:t>S</m:t>
        </m:r>
        <m:r>
          <m:t>a</m:t>
        </m:r>
        <m:r>
          <m:t>n</m:t>
        </m:r>
        <m:r>
          <m:t>d</m:t>
        </m:r>
        <m:r>
          <m:t>a</m:t>
        </m:r>
        <m:r>
          <m:t>s</m:t>
        </m:r>
        <m:r>
          <m:t>i</m:t>
        </m:r>
        <m:r>
          <m:t>g</m:t>
        </m:r>
        <m:r>
          <m:t>n</m:t>
        </m:r>
        <m:r>
          <m:t>a</m:t>
        </m:r>
        <m:r>
          <m:t>l</m:t>
        </m:r>
        <m:r>
          <m:t>o</m:t>
        </m:r>
        <m:r>
          <m:t>f</m:t>
        </m:r>
        <m:r>
          <m:t>m</m:t>
        </m:r>
        <m:r>
          <m:t>a</m:t>
        </m:r>
        <m:r>
          <m:t>n</m:t>
        </m:r>
        <m:r>
          <m:t>a</m:t>
        </m:r>
        <m:r>
          <m:t>g</m:t>
        </m:r>
        <m:r>
          <m:t>e</m:t>
        </m:r>
        <m:r>
          <m:t>m</m:t>
        </m:r>
        <m:r>
          <m:t>e</m:t>
        </m:r>
        <m:r>
          <m:t>n</m:t>
        </m:r>
        <m:r>
          <m:t>t</m:t>
        </m:r>
        <m:r>
          <m:t>c</m:t>
        </m:r>
        <m:r>
          <m:t>o</m:t>
        </m:r>
        <m:r>
          <m:t>n</m:t>
        </m:r>
        <m:r>
          <m:t>f</m:t>
        </m:r>
        <m:r>
          <m:t>i</m:t>
        </m:r>
        <m:r>
          <m:t>d</m:t>
        </m:r>
        <m:r>
          <m:t>e</m:t>
        </m:r>
        <m:r>
          <m:t>n</m:t>
        </m:r>
        <m:r>
          <m:t>c</m:t>
        </m:r>
        <m:r>
          <m:t>e</m:t>
        </m:r>
        <m:r>
          <m:rPr>
            <m:sty m:val="p"/>
          </m:rPr>
          <m:t>;</m:t>
        </m:r>
        <m:r>
          <m:t>w</m:t>
        </m:r>
        <m:r>
          <m:t>a</m:t>
        </m:r>
        <m:r>
          <m:t>t</m:t>
        </m:r>
        <m:r>
          <m:t>c</m:t>
        </m:r>
        <m:r>
          <m:t>h</m:t>
        </m:r>
        <m:r>
          <m:t>w</m:t>
        </m:r>
        <m:r>
          <m:t>h</m:t>
        </m:r>
        <m:r>
          <m:t>e</m:t>
        </m:r>
        <m:r>
          <m:t>t</m:t>
        </m:r>
        <m:r>
          <m:t>h</m:t>
        </m:r>
        <m:r>
          <m:t>e</m:t>
        </m:r>
        <m:r>
          <m:t>r</m:t>
        </m:r>
        <m:r>
          <m:t>t</m:t>
        </m:r>
        <m:r>
          <m:t>h</m:t>
        </m:r>
        <m:r>
          <m:t>e</m:t>
        </m:r>
        <m:r>
          <m:t>y</m:t>
        </m:r>
        <m:r>
          <m:t>l</m:t>
        </m:r>
        <m:r>
          <m:t>e</m:t>
        </m:r>
        <m:r>
          <m:t>a</m:t>
        </m:r>
        <m:r>
          <m:t>n</m:t>
        </m:r>
        <m:r>
          <m:t>e</m:t>
        </m:r>
        <m:r>
          <m:t>d</m:t>
        </m:r>
        <m:r>
          <m:t>i</m:t>
        </m:r>
        <m:r>
          <m:t>n</m:t>
        </m:r>
        <m:r>
          <m:t>d</m:t>
        </m:r>
        <m:r>
          <m:t>u</m:t>
        </m:r>
        <m:r>
          <m:t>r</m:t>
        </m:r>
        <m:r>
          <m:t>i</m:t>
        </m:r>
        <m:r>
          <m:t>n</m:t>
        </m:r>
        <m:r>
          <m:t>g</m:t>
        </m:r>
        <m:r>
          <m:t>t</m:t>
        </m:r>
        <m:r>
          <m:t>h</m:t>
        </m:r>
        <m:r>
          <m:t>e</m:t>
        </m:r>
        <m:r>
          <m:t>A</m:t>
        </m:r>
        <m:r>
          <m:t>p</m:t>
        </m:r>
        <m:r>
          <m:t>r</m:t>
        </m:r>
        <m:r>
          <m:t>i</m:t>
        </m:r>
        <m:r>
          <m:t>l</m:t>
        </m:r>
        <m:r>
          <m:rPr>
            <m:sty m:val="p"/>
          </m:rPr>
          <m:t>/</m:t>
        </m:r>
        <m:r>
          <m:t>M</m:t>
        </m:r>
        <m:r>
          <m:t>a</m:t>
        </m:r>
        <m:r>
          <m:t>y</m:t>
        </m:r>
        <m:r>
          <m:t>s</m:t>
        </m:r>
        <m:r>
          <m:t>t</m:t>
        </m:r>
        <m:r>
          <m:t>o</m:t>
        </m:r>
        <m:r>
          <m:t>c</m:t>
        </m:r>
        <m:r>
          <m:t>k</m:t>
        </m:r>
        <m:r>
          <m:t>w</m:t>
        </m:r>
        <m:r>
          <m:t>e</m:t>
        </m:r>
        <m:r>
          <m:t>a</m:t>
        </m:r>
        <m:r>
          <m:t>k</m:t>
        </m:r>
        <m:r>
          <m:t>n</m:t>
        </m:r>
        <m:r>
          <m:t>e</m:t>
        </m:r>
        <m:r>
          <m:t>s</m:t>
        </m:r>
        <m:r>
          <m:t>s</m:t>
        </m:r>
        <m:r>
          <m:rPr>
            <m:sty m:val="p"/>
          </m:rPr>
          <m:t>.</m:t>
        </m:r>
        <m:r>
          <m:t>F</m:t>
        </m:r>
        <m:r>
          <m:t>Y</m:t>
        </m:r>
        <m:r>
          <m:t>26</m:t>
        </m:r>
        <m:r>
          <m:t>c</m:t>
        </m:r>
        <m:r>
          <m:t>a</m:t>
        </m:r>
        <m:r>
          <m:t>p</m:t>
        </m:r>
        <m:r>
          <m:t>e</m:t>
        </m:r>
        <m:r>
          <m:t>x</m:t>
        </m:r>
        <m:r>
          <m:t>i</m:t>
        </m:r>
        <m:r>
          <m:t>s</m:t>
        </m:r>
        <m:r>
          <m:t> </m:t>
        </m:r>
      </m:oMath>
      <w:r>
        <w:t xml:space="preserve">5B, funding the Legend of the Seas delivery (Q2), Icon 6/7 orders, and the private-destination build-out.</w:t>
      </w:r>
    </w:p>
    <w:p>
      <w:r>
        <w:pict>
          <v:rect style="width:0;height:1.5pt" o:hralign="center" o:hrstd="t" o:hr="t"/>
        </w:pict>
      </w:r>
    </w:p>
    <w:bookmarkEnd w:id="15"/>
    <w:bookmarkStart w:id="16" w:name="growth-pipeline--potential-catalysts"/>
    <w:p>
      <w:pPr>
        <w:pStyle w:val="Heading2"/>
      </w:pPr>
      <w:r>
        <w:t xml:space="preserve">Growth pipeline / potential catalysts</w:t>
      </w:r>
    </w:p>
    <w:p>
      <w:pPr>
        <w:pStyle w:val="Compact"/>
        <w:numPr>
          <w:ilvl w:val="0"/>
          <w:numId w:val="1003"/>
        </w:numPr>
      </w:pPr>
      <w:r>
        <w:rPr>
          <w:b/>
          <w:bCs/>
        </w:rPr>
        <w:t xml:space="preserve">Legend of the Seas</w:t>
      </w:r>
      <w:r>
        <w:t xml:space="preserve"> </w:t>
      </w:r>
      <w:r>
        <w:t xml:space="preserve">(3rd Icon-class ship) — delivered Q2, booking at prices</w:t>
      </w:r>
      <w:r>
        <w:t xml:space="preserve"> </w:t>
      </w:r>
      <w:r>
        <w:rPr>
          <w:i/>
          <w:iCs/>
        </w:rPr>
        <w:t xml:space="preserve">above</w:t>
      </w:r>
      <w:r>
        <w:t xml:space="preserve"> </w:t>
      </w:r>
      <w:r>
        <w:t xml:space="preserve">Icon and Star; redeploys to the Caribbean in November (a Q4 yield tailwind).</w:t>
      </w:r>
    </w:p>
    <w:p>
      <w:pPr>
        <w:pStyle w:val="Compact"/>
        <w:numPr>
          <w:ilvl w:val="0"/>
          <w:numId w:val="1003"/>
        </w:numPr>
      </w:pPr>
      <w:r>
        <w:rPr>
          <w:b/>
          <w:bCs/>
        </w:rPr>
        <w:t xml:space="preserve">Private destinations</w:t>
      </w:r>
      <w:r>
        <w:t xml:space="preserve"> </w:t>
      </w:r>
      <w:r>
        <w:t xml:space="preserve">expanding from 3 to 8 by 2028: Royal Beach Club Santorini just opened (strong demand), Cozumel now early-2028,</w:t>
      </w:r>
      <w:r>
        <w:t xml:space="preserve"> </w:t>
      </w:r>
      <w:r>
        <w:rPr>
          <w:b/>
          <w:bCs/>
        </w:rPr>
        <w:t xml:space="preserve">Perfect Day Mexico</w:t>
      </w:r>
      <w:r>
        <w:t xml:space="preserve"> </w:t>
      </w:r>
      <w:r>
        <w:t xml:space="preserve">soft-opens Q4 2027 (ramp 2028) — management's "own Texas/Gulf" thesis and a multi-year yield accretion story.</w:t>
      </w:r>
    </w:p>
    <w:p>
      <w:pPr>
        <w:pStyle w:val="Compact"/>
        <w:numPr>
          <w:ilvl w:val="0"/>
          <w:numId w:val="1003"/>
        </w:numPr>
      </w:pPr>
      <w:r>
        <w:rPr>
          <w:b/>
          <w:bCs/>
        </w:rPr>
        <w:t xml:space="preserve">Celebrity River Cruises</w:t>
      </w:r>
      <w:r>
        <w:t xml:space="preserve"> </w:t>
      </w:r>
      <w:r>
        <w:t xml:space="preserve">launches 2027 — extends the "lifetime of vacations" ecosystem.</w:t>
      </w:r>
    </w:p>
    <w:p>
      <w:pPr>
        <w:pStyle w:val="Compact"/>
        <w:numPr>
          <w:ilvl w:val="0"/>
          <w:numId w:val="1003"/>
        </w:numPr>
      </w:pPr>
      <w:r>
        <w:rPr>
          <w:b/>
          <w:bCs/>
        </w:rPr>
        <w:t xml:space="preserve">AI/technology</w:t>
      </w:r>
      <w:r>
        <w:t xml:space="preserve"> </w:t>
      </w:r>
      <w:r>
        <w:t xml:space="preserve">— management is leaning hard into this as a margin and personalization lever; expect more color.</w:t>
      </w:r>
    </w:p>
    <w:p>
      <w:r>
        <w:pict>
          <v:rect style="width:0;height:1.5pt" o:hralign="center" o:hrstd="t" o:hr="t"/>
        </w:pict>
      </w:r>
    </w:p>
    <w:bookmarkEnd w:id="16"/>
    <w:bookmarkStart w:id="17" w:name="stock-context-into-the-print"/>
    <w:p>
      <w:pPr>
        <w:pStyle w:val="Heading2"/>
      </w:pPr>
      <w:r>
        <w:t xml:space="preserve">Stock context into the print</w:t>
      </w:r>
    </w:p>
    <w:p>
      <w:pPr>
        <w:pStyle w:val="FirstParagraph"/>
      </w:pPr>
      <w:r>
        <w:t xml:space="preserve">RCL trades around</w:t>
      </w:r>
      <w:r>
        <w:t xml:space="preserve"> </w:t>
      </w:r>
      <m:oMath>
        <m:r>
          <m:t>305</m:t>
        </m:r>
        <m:r>
          <m:rPr>
            <m:sty m:val="p"/>
          </m:rPr>
          <m:t>*</m:t>
        </m:r>
        <m:r>
          <m:rPr>
            <m:sty m:val="p"/>
          </m:rPr>
          <m:t>*</m:t>
        </m:r>
        <m:r>
          <m:rPr>
            <m:sty m:val="p"/>
          </m:rPr>
          <m:t>,</m:t>
        </m:r>
        <m:r>
          <m:t>u</m:t>
        </m:r>
        <m:r>
          <m:t>p</m:t>
        </m:r>
        <m:r>
          <m:t>r</m:t>
        </m:r>
        <m:r>
          <m:t>o</m:t>
        </m:r>
        <m:r>
          <m:t>u</m:t>
        </m:r>
        <m:r>
          <m:t>g</m:t>
        </m:r>
        <m:r>
          <m:t>h</m:t>
        </m:r>
        <m:r>
          <m:t>l</m:t>
        </m:r>
        <m:r>
          <m:t>y</m:t>
        </m:r>
        <m:r>
          <m:t>8</m:t>
        </m:r>
      </m:oMath>
      <w:r>
        <w:rPr>
          <w:b/>
          <w:bCs/>
        </w:rPr>
        <w:t xml:space="preserve">348 after the January (Q4'25) report and strong 2026 guide, then sold off to a ~</w:t>
      </w:r>
      <m:oMath>
        <m:r>
          <m:t>254</m:t>
        </m:r>
        <m:r>
          <m:t>t</m:t>
        </m:r>
        <m:r>
          <m:t>r</m:t>
        </m:r>
        <m:r>
          <m:t>o</m:t>
        </m:r>
        <m:r>
          <m:t>u</m:t>
        </m:r>
        <m:r>
          <m:t>g</m:t>
        </m:r>
        <m:r>
          <m:t>h</m:t>
        </m:r>
        <m:r>
          <m:t>a</m:t>
        </m:r>
        <m:r>
          <m:t>r</m:t>
        </m:r>
        <m:r>
          <m:t>o</m:t>
        </m:r>
        <m:r>
          <m:t>u</m:t>
        </m:r>
        <m:r>
          <m:t>n</m:t>
        </m:r>
        <m:r>
          <m:t>d</m:t>
        </m:r>
        <m:r>
          <m:t>l</m:t>
        </m:r>
        <m:r>
          <m:t>a</m:t>
        </m:r>
        <m:r>
          <m:t>t</m:t>
        </m:r>
        <m:r>
          <m:t>e</m:t>
        </m:r>
        <m:r>
          <m:t>A</m:t>
        </m:r>
        <m:r>
          <m:t>p</m:t>
        </m:r>
        <m:r>
          <m:t>r</m:t>
        </m:r>
        <m:r>
          <m:t>i</m:t>
        </m:r>
        <m:r>
          <m:t>l</m:t>
        </m:r>
        <m:r>
          <m:t>a</m:t>
        </m:r>
        <m:r>
          <m:t>m</m:t>
        </m:r>
        <m:r>
          <m:t>i</m:t>
        </m:r>
        <m:r>
          <m:t>d</m:t>
        </m:r>
        <m:r>
          <m:t>t</m:t>
        </m:r>
        <m:r>
          <m:t>a</m:t>
        </m:r>
        <m:r>
          <m:t>r</m:t>
        </m:r>
        <m:r>
          <m:t>i</m:t>
        </m:r>
        <m:r>
          <m:t>f</m:t>
        </m:r>
        <m:r>
          <m:t>f</m:t>
        </m:r>
        <m:r>
          <m:rPr>
            <m:sty m:val="p"/>
          </m:rPr>
          <m:t>/</m:t>
        </m:r>
        <m:r>
          <m:t>g</m:t>
        </m:r>
        <m:r>
          <m:t>e</m:t>
        </m:r>
        <m:r>
          <m:t>o</m:t>
        </m:r>
        <m:r>
          <m:t>p</m:t>
        </m:r>
        <m:r>
          <m:t>o</m:t>
        </m:r>
        <m:r>
          <m:t>l</m:t>
        </m:r>
        <m:r>
          <m:t>i</m:t>
        </m:r>
        <m:r>
          <m:t>t</m:t>
        </m:r>
        <m:r>
          <m:t>i</m:t>
        </m:r>
        <m:r>
          <m:t>c</m:t>
        </m:r>
        <m:r>
          <m:t>a</m:t>
        </m:r>
        <m:r>
          <m:t>l</m:t>
        </m:r>
        <m:r>
          <m:t>t</m:t>
        </m:r>
        <m:r>
          <m:t>u</m:t>
        </m:r>
        <m:r>
          <m:t>r</m:t>
        </m:r>
        <m:r>
          <m:t>m</m:t>
        </m:r>
        <m:r>
          <m:t>o</m:t>
        </m:r>
        <m:r>
          <m:t>i</m:t>
        </m:r>
        <m:r>
          <m:t>l</m:t>
        </m:r>
        <m:r>
          <m:t>a</m:t>
        </m:r>
        <m:r>
          <m:t>n</m:t>
        </m:r>
        <m:r>
          <m:t>d</m:t>
        </m:r>
        <m:r>
          <m:t>t</m:t>
        </m:r>
        <m:r>
          <m:t>h</m:t>
        </m:r>
        <m:r>
          <m:t>e</m:t>
        </m:r>
        <m:r>
          <m:t>M</m:t>
        </m:r>
        <m:r>
          <m:t>e</m:t>
        </m:r>
        <m:r>
          <m:t>d</m:t>
        </m:r>
        <m:r>
          <m:t>a</m:t>
        </m:r>
        <m:r>
          <m:t>i</m:t>
        </m:r>
        <m:r>
          <m:t>r</m:t>
        </m:r>
        <m:r>
          <m:rPr>
            <m:sty m:val="p"/>
          </m:rPr>
          <m:t>−</m:t>
        </m:r>
        <m:r>
          <m:t>p</m:t>
        </m:r>
        <m:r>
          <m:t>o</m:t>
        </m:r>
        <m:r>
          <m:t>c</m:t>
        </m:r>
        <m:r>
          <m:t>k</m:t>
        </m:r>
        <m:r>
          <m:t>e</m:t>
        </m:r>
        <m:r>
          <m:t>t</m:t>
        </m:r>
        <m:r>
          <m:rPr>
            <m:sty m:val="p"/>
          </m:rPr>
          <m:t>,</m:t>
        </m:r>
        <m:r>
          <m:t>r</m:t>
        </m:r>
        <m:r>
          <m:t>e</m:t>
        </m:r>
        <m:r>
          <m:t>c</m:t>
        </m:r>
        <m:r>
          <m:t>o</m:t>
        </m:r>
        <m:r>
          <m:t>v</m:t>
        </m:r>
        <m:r>
          <m:t>e</m:t>
        </m:r>
        <m:r>
          <m:t>r</m:t>
        </m:r>
        <m:r>
          <m:t>e</m:t>
        </m:r>
        <m:r>
          <m:t>d</m:t>
        </m:r>
        <m:r>
          <m:t>t</m:t>
        </m:r>
        <m:r>
          <m:t>o</m:t>
        </m:r>
        <m:r>
          <m:t> </m:t>
        </m:r>
      </m:oMath>
      <w:r>
        <w:rPr>
          <w:b/>
          <w:bCs/>
        </w:rPr>
        <w:t xml:space="preserve">322 by late June, and has firmed **~7% in the sessions right into the print</w:t>
      </w:r>
      <w:r>
        <w:t xml:space="preserve"> </w:t>
      </w:r>
      <w:r>
        <w:t xml:space="preserve">(from ~$286 to $305). That late-run rally means expectations have been rebuilt — leaving less cushion if booking or yield commentary disappoints.</w:t>
      </w:r>
    </w:p>
    <w:p>
      <w:r>
        <w:pict>
          <v:rect style="width:0;height:1.5pt" o:hralign="center" o:hrstd="t" o:hr="t"/>
        </w:pict>
      </w:r>
    </w:p>
    <w:bookmarkEnd w:id="17"/>
    <w:bookmarkStart w:id="18" w:name="bottom-line"/>
    <w:p>
      <w:pPr>
        <w:pStyle w:val="Heading2"/>
      </w:pPr>
      <w:r>
        <w:t xml:space="preserve">Bottom line</w:t>
      </w:r>
    </w:p>
    <w:p>
      <w:pPr>
        <w:pStyle w:val="FirstParagraph"/>
      </w:pPr>
      <w:r>
        <w:t xml:space="preserve">The Q2 optics (declining EPS, sub-1% yield) are the trough of a fuel + timing + Europe-driven dip that management has framed as transitory. The bull case is that Q2 marks the low, the Med has already recovered, the Caribbean holds, costs stay tight, and the 2H acceleration + buybacks support a reaffirmed-to-higher</w:t>
      </w:r>
      <w:r>
        <w:t xml:space="preserve"> </w:t>
      </w:r>
      <m:oMath>
        <m:r>
          <m:t>17.10</m:t>
        </m:r>
        <m:r>
          <m:rPr>
            <m:sty m:val="p"/>
          </m:rPr>
          <m:t>–</m:t>
        </m:r>
      </m:oMath>
      <w:r>
        <w:t xml:space="preserve">17.50 and the 20% Perfecta CAGR — with 2027 setting up as a clean-comp, new-hardware/destination growth year. The bear case is that Europe softness lingers, Caribbean capacity finally pressures pricing, and fuel stays elevated, forcing a full-year trim. With the stock having rallied into the report, the burden of proof is on the</w:t>
      </w:r>
      <w:r>
        <w:t xml:space="preserve"> </w:t>
      </w:r>
      <w:r>
        <w:rPr>
          <w:b/>
          <w:bCs/>
        </w:rPr>
        <w:t xml:space="preserve">full-year revision and forward-booking commentary</w:t>
      </w:r>
      <w:r>
        <w:t xml:space="preserve">, not the Q2 headline itself.</w:t>
      </w:r>
    </w:p>
    <w:p>
      <w:pPr>
        <w:pStyle w:val="BodyText"/>
      </w:pPr>
      <w:r>
        <w:rPr>
          <w:i/>
          <w:iCs/>
        </w:rPr>
        <w:t xml:space="preserve">Also note: RCL added former Airbnb/Apple executive Tara Bunch to its board (announced July 20) — a governance/tech-strategy signal rather than a numbers item.</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2026-07-28T00:49:08Z</dcterms:created>
  <dcterms:modified xsi:type="dcterms:W3CDTF">2026-07-28T00:49:08Z</dcterms:modified>
</cp:coreProperties>
</file>

<file path=docProps/custom.xml><?xml version="1.0" encoding="utf-8"?>
<Properties xmlns="http://schemas.openxmlformats.org/officeDocument/2006/custom-properties" xmlns:vt="http://schemas.openxmlformats.org/officeDocument/2006/docPropsVTypes"/>
</file>