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5ee4193099ce068d4c764b5b9db4f0f63f1f099"/>
    <w:p>
      <w:pPr>
        <w:pStyle w:val="Heading1"/>
      </w:pPr>
      <w:r>
        <w:t xml:space="preserve">Royal Caribbean Group (RCL) — Q2 2026 Earnings Preview</w:t>
      </w:r>
    </w:p>
    <w:p>
      <w:pPr>
        <w:pStyle w:val="FirstParagraph"/>
      </w:pPr>
      <w:r>
        <w:rPr>
          <w:b/>
          <w:bCs/>
        </w:rPr>
        <w:t xml:space="preserve">Report Date:</w:t>
      </w:r>
      <w:r>
        <w:t xml:space="preserve"> </w:t>
      </w:r>
      <w:r>
        <w:t xml:space="preserve">Tuesday, July 28, 2026, before market open | Call at 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RCL closed at</w:t>
      </w:r>
      <w:r>
        <w:t xml:space="preserve"> </w:t>
      </w:r>
      <m:oMath>
        <m:r>
          <m:t>305.08</m:t>
        </m:r>
        <m:r>
          <m:t>o</m:t>
        </m:r>
        <m:r>
          <m:t>n</m:t>
        </m:r>
        <m:r>
          <m:t>J</m:t>
        </m:r>
        <m:r>
          <m:t>u</m:t>
        </m:r>
        <m:r>
          <m:t>l</m:t>
        </m:r>
        <m:r>
          <m:t>y</m:t>
        </m:r>
        <m:r>
          <m:t>27</m:t>
        </m:r>
        <m:r>
          <m:rPr>
            <m:sty m:val="p"/>
          </m:rPr>
          <m:t>*</m:t>
        </m:r>
        <m:r>
          <m:rPr>
            <m:sty m:val="p"/>
          </m:rPr>
          <m:t>*</m:t>
        </m:r>
        <m:r>
          <m:rPr>
            <m:sty m:val="p"/>
          </m:rPr>
          <m:t>,</m:t>
        </m:r>
        <m:r>
          <m:t>h</m:t>
        </m:r>
        <m:r>
          <m:t>a</m:t>
        </m:r>
        <m:r>
          <m:t>v</m:t>
        </m:r>
        <m:r>
          <m:t>i</m:t>
        </m:r>
        <m:r>
          <m:t>n</m:t>
        </m:r>
        <m:r>
          <m:t>g</m:t>
        </m:r>
        <m:r>
          <m:t>r</m:t>
        </m:r>
        <m:r>
          <m:t>o</m:t>
        </m:r>
        <m:r>
          <m:t>u</m:t>
        </m:r>
        <m:r>
          <m:t>n</m:t>
        </m:r>
        <m:r>
          <m:t>d</m:t>
        </m:r>
        <m:r>
          <m:rPr>
            <m:sty m:val="p"/>
          </m:rPr>
          <m:t>−</m:t>
        </m:r>
        <m:r>
          <m:t>t</m:t>
        </m:r>
        <m:r>
          <m:t>r</m:t>
        </m:r>
        <m:r>
          <m:t>i</m:t>
        </m:r>
        <m:r>
          <m:t>p</m:t>
        </m:r>
        <m:r>
          <m:t>p</m:t>
        </m:r>
        <m:r>
          <m:t>e</m:t>
        </m:r>
        <m:r>
          <m:t>d</m:t>
        </m:r>
        <m:r>
          <m:t>a</m:t>
        </m:r>
        <m:r>
          <m:t>w</m:t>
        </m:r>
        <m:r>
          <m:t>i</m:t>
        </m:r>
        <m:r>
          <m:t>l</m:t>
        </m:r>
        <m:r>
          <m:t>d</m:t>
        </m:r>
        <m:r>
          <m:t>s</m:t>
        </m:r>
        <m:r>
          <m:t>i</m:t>
        </m:r>
        <m:r>
          <m:t>x</m:t>
        </m:r>
        <m:r>
          <m:t>m</m:t>
        </m:r>
        <m:r>
          <m:t>o</m:t>
        </m:r>
        <m:r>
          <m:t>n</m:t>
        </m:r>
        <m:r>
          <m:t>t</m:t>
        </m:r>
        <m:r>
          <m:t>h</m:t>
        </m:r>
        <m:r>
          <m:t>s</m:t>
        </m:r>
        <m:r>
          <m:rPr>
            <m:sty m:val="p"/>
          </m:rPr>
          <m:t>:</m:t>
        </m:r>
        <m:r>
          <m:t>s</m:t>
        </m:r>
        <m:r>
          <m:t>h</m:t>
        </m:r>
        <m:r>
          <m:t>a</m:t>
        </m:r>
        <m:r>
          <m:t>r</m:t>
        </m:r>
        <m:r>
          <m:t>e</m:t>
        </m:r>
        <m:r>
          <m:t>s</m:t>
        </m:r>
        <m:r>
          <m:t>f</m:t>
        </m:r>
        <m:r>
          <m:t>e</m:t>
        </m:r>
        <m:r>
          <m:t>l</m:t>
        </m:r>
        <m:r>
          <m:t>l</m:t>
        </m:r>
        <m:r>
          <m:t>t</m:t>
        </m:r>
        <m:r>
          <m:t>o</m:t>
        </m:r>
        <m:r>
          <m:t>a</m:t>
        </m:r>
        <m:r>
          <m:t>52</m:t>
        </m:r>
        <m:r>
          <m:rPr>
            <m:sty m:val="p"/>
          </m:rPr>
          <m:t>−</m:t>
        </m:r>
        <m:r>
          <m:t>w</m:t>
        </m:r>
        <m:r>
          <m:t>e</m:t>
        </m:r>
        <m:r>
          <m:t>e</m:t>
        </m:r>
        <m:r>
          <m:t>k</m:t>
        </m:r>
        <m:r>
          <m:t>l</m:t>
        </m:r>
        <m:r>
          <m:t>o</m:t>
        </m:r>
        <m:r>
          <m:t>w</m:t>
        </m:r>
        <m:r>
          <m:t>n</m:t>
        </m:r>
        <m:r>
          <m:t>e</m:t>
        </m:r>
        <m:r>
          <m:t>a</m:t>
        </m:r>
        <m:r>
          <m:t>r</m:t>
        </m:r>
        <m:r>
          <m:rPr>
            <m:sty m:val="p"/>
          </m:rPr>
          <m:t>*</m:t>
        </m:r>
        <m:r>
          <m:rPr>
            <m:sty m:val="p"/>
          </m:rPr>
          <m:t>*</m:t>
        </m:r>
      </m:oMath>
      <w:r>
        <w:rPr>
          <w:b/>
          <w:bCs/>
        </w:rPr>
        <w:t xml:space="preserve">232</w:t>
      </w:r>
      <w:r>
        <w:t xml:space="preserve"> </w:t>
      </w:r>
      <w:r>
        <w:t xml:space="preserve">in late May before rallying roughly 27% amid easing Middle East tensions, only to give back some gains again in July on renewed volatility. Royal Caribbean Group surged approximately 27% over the last 30 days, rebounding from a 52-week low of $232.10 on May 20 to close at $312.51 on June 18, with strong Q1 2026 earnings reported on April 30 beating analyst estimates and reinforcing confidence in cruise demand resilience. Wall Street remains broadly constructive: consensus rates the stock a</w:t>
      </w:r>
      <w:r>
        <w:t xml:space="preserve"> </w:t>
      </w:r>
      <w:r>
        <w:rPr>
          <w:b/>
          <w:bCs/>
        </w:rPr>
        <w:t xml:space="preserve">"Moderate Buy,"</w:t>
      </w:r>
      <w:r>
        <w:t xml:space="preserve"> </w:t>
      </w:r>
      <w:r>
        <w:t xml:space="preserve">and out of 27 analysts covering the stock, 19 advise a "Strong Buy" rating, one suggests a "Moderate Buy," and seven give a "Hold," with an average price target of $338.89.</w:t>
      </w:r>
    </w:p>
    <w:p>
      <w:pPr>
        <w:pStyle w:val="BodyText"/>
      </w:pPr>
      <w:r>
        <w:rPr>
          <w:b/>
          <w:bCs/>
        </w:rPr>
        <w:t xml:space="preserve">Consensus for Q2:</w:t>
      </w:r>
      <w:r>
        <w:t xml:space="preserve"> </w:t>
      </w:r>
      <w:r>
        <w:t xml:space="preserve">EPS of roughly</w:t>
      </w:r>
      <w:r>
        <w:t xml:space="preserve"> </w:t>
      </w:r>
      <m:oMath>
        <m:r>
          <m:t>3.95</m:t>
        </m:r>
        <m:r>
          <m:rPr>
            <m:sty m:val="p"/>
          </m:rPr>
          <m:t>–</m:t>
        </m:r>
      </m:oMath>
      <w:r>
        <w:rPr>
          <w:b/>
          <w:bCs/>
        </w:rPr>
        <w:t xml:space="preserve">3.97</w:t>
      </w:r>
      <w:r>
        <w:t xml:space="preserve"> </w:t>
      </w:r>
      <w:r>
        <w:t xml:space="preserve">(a ~9–10%</w:t>
      </w:r>
      <w:r>
        <w:t xml:space="preserve"> </w:t>
      </w:r>
      <w:r>
        <w:rPr>
          <w:i/>
          <w:iCs/>
        </w:rPr>
        <w:t xml:space="preserve">decline</w:t>
      </w:r>
      <w:r>
        <w:t xml:space="preserve"> </w:t>
      </w:r>
      <w:r>
        <w:t xml:space="preserve">year-over-year) on revenue of about</w:t>
      </w:r>
      <w:r>
        <w:t xml:space="preserve"> </w:t>
      </w:r>
      <m:oMath>
        <m:r>
          <m:t>4.81</m:t>
        </m:r>
        <m:r>
          <m:rPr>
            <m:sty m:val="p"/>
          </m:rPr>
          <m:t>–</m:t>
        </m:r>
      </m:oMath>
      <w:r>
        <w:rPr>
          <w:b/>
          <w:bCs/>
        </w:rPr>
        <w:t xml:space="preserve">4.82 billion</w:t>
      </w:r>
      <w:r>
        <w:t xml:space="preserve"> </w:t>
      </w:r>
      <w:r>
        <w:t xml:space="preserve">(+6% y/y). The Zacks Consensus Estimate for RCL's second-quarter EPS is $3.97, down 9.4% from the year-ago quarter, and consensus revenue is</w:t>
      </w:r>
      <w:r>
        <w:t xml:space="preserve"> </w:t>
      </w:r>
      <m:oMath>
        <m:r>
          <m:t>4.81</m:t>
        </m:r>
        <m:r>
          <m:t>b</m:t>
        </m:r>
        <m:r>
          <m:t>i</m:t>
        </m:r>
        <m:r>
          <m:t>l</m:t>
        </m:r>
        <m:r>
          <m:t>l</m:t>
        </m:r>
        <m:r>
          <m:t>i</m:t>
        </m:r>
        <m:r>
          <m:t>o</m:t>
        </m:r>
        <m:r>
          <m:t>n</m:t>
        </m:r>
        <m:r>
          <m:rPr>
            <m:sty m:val="p"/>
          </m:rPr>
          <m:t>,</m:t>
        </m:r>
        <m:r>
          <m:t>i</m:t>
        </m:r>
        <m:r>
          <m:t>n</m:t>
        </m:r>
        <m:r>
          <m:t>d</m:t>
        </m:r>
        <m:r>
          <m:t>i</m:t>
        </m:r>
        <m:r>
          <m:t>c</m:t>
        </m:r>
        <m:r>
          <m:t>a</m:t>
        </m:r>
        <m:r>
          <m:t>t</m:t>
        </m:r>
        <m:r>
          <m:t>i</m:t>
        </m:r>
        <m:r>
          <m:t>n</m:t>
        </m:r>
        <m:r>
          <m:t>g</m:t>
        </m:r>
        <m:r>
          <m:t>6</m:t>
        </m:r>
      </m:oMath>
      <w:r>
        <w:t xml:space="preserve">3.83–$3.93**, which management set in April.</w:t>
      </w:r>
    </w:p>
    <w:p>
      <w:r>
        <w:pict>
          <v:rect style="width:0;height:1.5pt" o:hralign="center" o:hrstd="t" o:hr="t"/>
        </w:pict>
      </w:r>
    </w:p>
    <w:bookmarkEnd w:id="9"/>
    <w:bookmarkStart w:id="10" w:name="what-happened-last-quarter-the-baseline"/>
    <w:p>
      <w:pPr>
        <w:pStyle w:val="Heading2"/>
      </w:pPr>
      <w:r>
        <w:t xml:space="preserve">What Happened Last Quarter (the Baseline)</w:t>
      </w:r>
    </w:p>
    <w:p>
      <w:pPr>
        <w:pStyle w:val="FirstParagraph"/>
      </w:pPr>
      <w:r>
        <w:t xml:space="preserve">Q1 2026 was a strong beat-and-raise-then-trim setup. Highlights:</w:t>
      </w:r>
    </w:p>
    <w:p>
      <w:pPr>
        <w:pStyle w:val="Compact"/>
        <w:numPr>
          <w:ilvl w:val="0"/>
          <w:numId w:val="1001"/>
        </w:numPr>
      </w:pPr>
      <w:r>
        <w:t xml:space="preserve">Adjusted EPS was $0.37 higher than the midpoint of guidance and 33% higher compared to last year, with the outperformance driven by better-than-expected revenue, lower costs and better performance from joint ventures.</w:t>
      </w:r>
    </w:p>
    <w:p>
      <w:pPr>
        <w:pStyle w:val="Compact"/>
        <w:numPr>
          <w:ilvl w:val="0"/>
          <w:numId w:val="1001"/>
        </w:numPr>
      </w:pPr>
      <w:r>
        <w:t xml:space="preserve">The company delivered 12% more vacations than last year, with an increase in the number of young guests, mainly millennials and younger demographics, and an increase in repeat guests. Net yield growth of 2% came in above the high end of guidance.</w:t>
      </w:r>
    </w:p>
    <w:p>
      <w:pPr>
        <w:pStyle w:val="Compact"/>
        <w:numPr>
          <w:ilvl w:val="0"/>
          <w:numId w:val="1001"/>
        </w:numPr>
      </w:pPr>
      <w:r>
        <w:t xml:space="preserve">Adjusted EBITDA was approximately $1.7 billion, an EBITDA margin of 38%, up more than 300 basis points year-over-year.</w:t>
      </w:r>
    </w:p>
    <w:p>
      <w:pPr>
        <w:pStyle w:val="Compact"/>
        <w:numPr>
          <w:ilvl w:val="0"/>
          <w:numId w:val="1001"/>
        </w:numPr>
      </w:pPr>
      <w:r>
        <w:t xml:space="preserve">Capital returns were robust: during the quarter the company returned approximately $1.1 billion to shareholders through $836 million of share repurchases and $270 million of dividend payments.</w:t>
      </w:r>
    </w:p>
    <w:p>
      <w:pPr>
        <w:pStyle w:val="FirstParagraph"/>
      </w:pPr>
      <w:r>
        <w:t xml:space="preserve">But the quarter also introduced the two swing factors that will dominate Tuesday's print:</w:t>
      </w:r>
      <w:r>
        <w:t xml:space="preserve"> </w:t>
      </w:r>
      <w:r>
        <w:rPr>
          <w:b/>
          <w:bCs/>
        </w:rPr>
        <w:t xml:space="preserve">geopolitical disruption to Mediterranean/Middle East itineraries and a fuel cost spike.</w:t>
      </w:r>
    </w:p>
    <w:p>
      <w:r>
        <w:pict>
          <v:rect style="width:0;height:1.5pt" o:hralign="center" o:hrstd="t" o:hr="t"/>
        </w:pict>
      </w:r>
    </w:p>
    <w:bookmarkEnd w:id="10"/>
    <w:bookmarkStart w:id="11" w:name="X461c934ade65306b813cb4d625eaf491deb92a8"/>
    <w:p>
      <w:pPr>
        <w:pStyle w:val="Heading2"/>
      </w:pPr>
      <w:r>
        <w:t xml:space="preserve">The Middle East Overhang: Fuel and Mediterranean Bookings</w:t>
      </w:r>
    </w:p>
    <w:p>
      <w:pPr>
        <w:pStyle w:val="FirstParagraph"/>
      </w:pPr>
      <w:r>
        <w:t xml:space="preserve">Two TUI Cruises joint-venture ships were directly affected by the conflict — two TUI cruise ships sailing in the Middle East region had to temporarily pause operations before safely repositioning to the Mediterranean. The bigger financial impact has been fuel and demand:</w:t>
      </w:r>
    </w:p>
    <w:p>
      <w:pPr>
        <w:pStyle w:val="Compact"/>
        <w:numPr>
          <w:ilvl w:val="0"/>
          <w:numId w:val="1002"/>
        </w:numPr>
      </w:pPr>
      <w:r>
        <w:t xml:space="preserve">While approximately 60% hedged for 2026, fuel prices at current spot levels were expected to increase costs by roughly $0.62 per share for the year, and the company also saw a short-term moderation in demand for high-yielding Mediterranean sailings.</w:t>
      </w:r>
    </w:p>
    <w:p>
      <w:pPr>
        <w:pStyle w:val="Compact"/>
        <w:numPr>
          <w:ilvl w:val="0"/>
          <w:numId w:val="1002"/>
        </w:numPr>
      </w:pPr>
      <w:r>
        <w:t xml:space="preserve">The softer booking trends lasted a few weeks before turning the corner, with improved demand for the limited remaining Q2/Q3 inventory; there was also disruption in demand for select West Coast Mexico itineraries.</w:t>
      </w:r>
    </w:p>
    <w:p>
      <w:pPr>
        <w:pStyle w:val="Compact"/>
        <w:numPr>
          <w:ilvl w:val="0"/>
          <w:numId w:val="1002"/>
        </w:numPr>
      </w:pPr>
      <w:r>
        <w:t xml:space="preserve">Management was emphatic on the Q1 call that the moderation had reversed: "We are not turning the corner. We have turned the corner... the moderation that we saw has turned. It's just that we have limited inventory that's in place" (Jason Liberty, CEO).</w:t>
      </w:r>
    </w:p>
    <w:p>
      <w:pPr>
        <w:pStyle w:val="Compact"/>
        <w:numPr>
          <w:ilvl w:val="0"/>
          <w:numId w:val="1002"/>
        </w:numPr>
      </w:pPr>
      <w:r>
        <w:t xml:space="preserve">The driver was largely airfare-related: bookings moderated due to increased air travel costs, airline capacity reductions and flight disruptions — the cost of a flight to Europe went up by more than 40% before moderating down to about 15%.</w:t>
      </w:r>
    </w:p>
    <w:p>
      <w:pPr>
        <w:pStyle w:val="FirstParagraph"/>
      </w:pPr>
      <w:r>
        <w:rPr>
          <w:b/>
          <w:bCs/>
        </w:rPr>
        <w:t xml:space="preserve">Read-across from Carnival's fiscal Q2 (reported June 23, period ended May 31) is encouraging.</w:t>
      </w:r>
      <w:r>
        <w:t xml:space="preserve"> </w:t>
      </w:r>
      <w:r>
        <w:t xml:space="preserve">CCL, which has larger European/Mediterranean exposure, showed the moderation stabilizing: booked position for the second half of 2026 was higher than last year at historically high prices despite navigating more than a full quarter of extreme geopolitical volatility, with the company now 93% booked for the year and less inventory remaining than last year, on track for record net yields in the second half. CEO Josh Weinstein noted "recent booking trends already suggest that we are beginning to see a reversal of these headwinds". This corroborates RCL's own commentary and is a positive read-through for demand durability.</w:t>
      </w:r>
    </w:p>
    <w:p>
      <w:r>
        <w:pict>
          <v:rect style="width:0;height:1.5pt" o:hralign="center" o:hrstd="t" o:hr="t"/>
        </w:pict>
      </w:r>
    </w:p>
    <w:bookmarkEnd w:id="11"/>
    <w:bookmarkStart w:id="12" w:name="X3688787a420daed87fcbdea3bcd45b7890f08df"/>
    <w:p>
      <w:pPr>
        <w:pStyle w:val="Heading2"/>
      </w:pPr>
      <w:r>
        <w:t xml:space="preserve">Q2 Guidance: The "Ugly Middle" of a Smiley-Face Year</w:t>
      </w:r>
    </w:p>
    <w:p>
      <w:pPr>
        <w:pStyle w:val="FirstParagraph"/>
      </w:pPr>
      <w:r>
        <w:t xml:space="preserve">Management explicitly framed 2026 yields as</w:t>
      </w:r>
      <w:r>
        <w:t xml:space="preserve"> </w:t>
      </w:r>
      <w:r>
        <w:rPr>
          <w:b/>
          <w:bCs/>
        </w:rPr>
        <w:t xml:space="preserve">"a little bit of a smiley face"</w:t>
      </w:r>
      <w:r>
        <w:t xml:space="preserve"> </w:t>
      </w:r>
      <w:r>
        <w:t xml:space="preserve">— strong start and finish, softer middle: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Full Year 2026 Guidance</w:t>
            </w:r>
          </w:p>
        </w:tc>
      </w:tr>
      <w:tr>
        <w:tc>
          <w:tcPr/>
          <w:p>
            <w:pPr>
              <w:pStyle w:val="Compact"/>
            </w:pPr>
            <w:r>
              <w:t xml:space="preserve">Net Yields (Constant Currency)</w:t>
            </w:r>
          </w:p>
        </w:tc>
        <w:tc>
          <w:tcPr/>
          <w:p>
            <w:pPr>
              <w:pStyle w:val="Compact"/>
            </w:pPr>
            <w:r>
              <w:t xml:space="preserve">~0.2%</w:t>
            </w:r>
          </w:p>
        </w:tc>
        <w:tc>
          <w:tcPr/>
          <w:p>
            <w:pPr>
              <w:pStyle w:val="Compact"/>
            </w:pPr>
            <w:r>
              <w:t xml:space="preserve">1.5% – 2.5%</w:t>
            </w:r>
          </w:p>
        </w:tc>
      </w:tr>
      <w:tr>
        <w:tc>
          <w:tcPr/>
          <w:p>
            <w:pPr>
              <w:pStyle w:val="Compact"/>
            </w:pPr>
            <w:r>
              <w:t xml:space="preserve">Capacity growth</w:t>
            </w:r>
          </w:p>
        </w:tc>
        <w:tc>
          <w:tcPr/>
          <w:p>
            <w:pPr>
              <w:pStyle w:val="Compact"/>
            </w:pPr>
            <w:r>
              <w:t xml:space="preserve">4.9%</w:t>
            </w:r>
          </w:p>
        </w:tc>
        <w:tc>
          <w:tcPr/>
          <w:p>
            <w:pPr>
              <w:pStyle w:val="Compact"/>
            </w:pPr>
            <w:r>
              <w:t xml:space="preserve">6.7%</w:t>
            </w:r>
          </w:p>
        </w:tc>
      </w:tr>
      <w:tr>
        <w:tc>
          <w:tcPr/>
          <w:p>
            <w:pPr>
              <w:pStyle w:val="Compact"/>
            </w:pPr>
            <w:r>
              <w:t xml:space="preserve">NCC ex-Fuel (Constant Currency)</w:t>
            </w:r>
          </w:p>
        </w:tc>
        <w:tc>
          <w:tcPr/>
          <w:p>
            <w:pPr>
              <w:pStyle w:val="Compact"/>
            </w:pPr>
            <w:r>
              <w:t xml:space="preserve">4.6% – 5.1%</w:t>
            </w:r>
          </w:p>
        </w:tc>
        <w:tc>
          <w:tcPr/>
          <w:p>
            <w:pPr>
              <w:pStyle w:val="Compact"/>
            </w:pPr>
            <w:r>
              <w:t xml:space="preserve">~flat</w:t>
            </w:r>
          </w:p>
        </w:tc>
      </w:tr>
      <w:tr>
        <w:tc>
          <w:tcPr/>
          <w:p>
            <w:pPr>
              <w:pStyle w:val="Compact"/>
            </w:pPr>
            <w:r>
              <w:t xml:space="preserve">Adjusted EPS</w:t>
            </w:r>
          </w:p>
        </w:tc>
        <w:tc>
          <w:tcPr/>
          <w:p>
            <w:pPr>
              <w:pStyle w:val="Compact"/>
            </w:pPr>
            <w:r>
              <w:t xml:space="preserve">$3.83 – $3.93</w:t>
            </w:r>
          </w:p>
        </w:tc>
        <w:tc>
          <w:tcPr/>
          <w:p>
            <w:pPr>
              <w:pStyle w:val="Compact"/>
            </w:pPr>
            <w:r>
              <w:t xml:space="preserve">$17.10 – $17.50</w:t>
            </w:r>
          </w:p>
        </w:tc>
      </w:tr>
    </w:tbl>
    <w:p>
      <w:pPr>
        <w:pStyle w:val="BodyText"/>
      </w:pPr>
      <w:r>
        <w:t xml:space="preserve">The Q2 cost line is elevated for reasons unrelated to demand: the second quarter has almost 400 basis points of cost headwinds related to additional dry dock days and year-over-year comparisons, as well as increased costs mostly related to crew travel resulting from air travel disruptions and reduced capacity. Similarly, year-over-year comparison elements, including increased dry dock days and impact from geopolitical events, contribute almost 200 basis points of headwind to Q2 yields, with a similar impact expected on Q3 yields.</w:t>
      </w:r>
    </w:p>
    <w:p>
      <w:pPr>
        <w:pStyle w:val="BodyText"/>
      </w:pPr>
      <w:r>
        <w:t xml:space="preserve">Importantly, management quantified the "clean" growth rate: "Adjusted EPS growth for the second quarter would have been approximately 11% excluding geopolitical impacts and other items affecting year-over-year comparability, including the timing of drydocks." That underlying double-digit growth rate is the number investors should be triangulating against the headline (which implies a ~10% y/y</w:t>
      </w:r>
      <w:r>
        <w:t xml:space="preserve"> </w:t>
      </w:r>
      <w:r>
        <w:rPr>
          <w:i/>
          <w:iCs/>
        </w:rPr>
        <w:t xml:space="preserve">decline</w:t>
      </w:r>
      <w:r>
        <w:t xml:space="preserve">).</w:t>
      </w:r>
    </w:p>
    <w:p>
      <w:pPr>
        <w:pStyle w:val="BodyText"/>
      </w:pPr>
      <w:r>
        <w:t xml:space="preserve">CFO Naftali Holtz also pre-committed to a Q4 acceleration: the Mediterranean-related yield drag is "for this year," with bookings for next year strong and consumers not showing signs of being impacted, while CEO Liberty pointed to Q4's easier comps and stronger book position at record rates as reasons for confidence in a second-half snapback.</w:t>
      </w:r>
    </w:p>
    <w:p>
      <w:r>
        <w:pict>
          <v:rect style="width:0;height:1.5pt" o:hralign="center" o:hrstd="t" o:hr="t"/>
        </w:pict>
      </w:r>
    </w:p>
    <w:bookmarkEnd w:id="12"/>
    <w:bookmarkStart w:id="13" w:name="X77a79be2e3e9055bb0c7686f93a46b3ac7488d6"/>
    <w:p>
      <w:pPr>
        <w:pStyle w:val="Heading2"/>
      </w:pPr>
      <w:r>
        <w:t xml:space="preserve">Balance Sheet, Fuel Hedging &amp; Capital Returns</w:t>
      </w:r>
    </w:p>
    <w:p>
      <w:pPr>
        <w:pStyle w:val="Compact"/>
        <w:numPr>
          <w:ilvl w:val="0"/>
          <w:numId w:val="1003"/>
        </w:numPr>
      </w:pPr>
      <w:r>
        <w:rPr>
          <w:b/>
          <w:bCs/>
        </w:rPr>
        <w:t xml:space="preserve">Liquidity/leverage:</w:t>
      </w:r>
      <w:r>
        <w:t xml:space="preserve"> </w:t>
      </w:r>
      <w:r>
        <w:t xml:space="preserve">as of March 31, 2026, liquidity was $6.9 billion, and leverage stood below 3x, consistent with the goal of solid investment-grade metrics.</w:t>
      </w:r>
    </w:p>
    <w:p>
      <w:pPr>
        <w:pStyle w:val="Compact"/>
        <w:numPr>
          <w:ilvl w:val="0"/>
          <w:numId w:val="1003"/>
        </w:numPr>
      </w:pPr>
      <w:r>
        <w:rPr>
          <w:b/>
          <w:bCs/>
        </w:rPr>
        <w:t xml:space="preserve">Financing:</w:t>
      </w:r>
      <w:r>
        <w:t xml:space="preserve"> </w:t>
      </w:r>
      <w:r>
        <w:t xml:space="preserve">the company accessed capital markets through a $2.5 billion investment-grade bond offering during the quarter, significantly oversubscribed, with proceeds used to refinance existing indebtedness including near-term maturities.</w:t>
      </w:r>
    </w:p>
    <w:p>
      <w:pPr>
        <w:pStyle w:val="Compact"/>
        <w:numPr>
          <w:ilvl w:val="0"/>
          <w:numId w:val="1003"/>
        </w:numPr>
      </w:pPr>
      <w:r>
        <w:rPr>
          <w:b/>
          <w:bCs/>
        </w:rPr>
        <w:t xml:space="preserve">Buybacks:</w:t>
      </w:r>
      <w:r>
        <w:t xml:space="preserve"> </w:t>
      </w:r>
      <w:r>
        <w:t xml:space="preserve">the company repurchased 2.9 million shares for $836 million during Q1, and has $1 billion remaining under its current program authorization.</w:t>
      </w:r>
    </w:p>
    <w:p>
      <w:pPr>
        <w:pStyle w:val="Compact"/>
        <w:numPr>
          <w:ilvl w:val="0"/>
          <w:numId w:val="1003"/>
        </w:numPr>
      </w:pPr>
      <w:r>
        <w:rPr>
          <w:b/>
          <w:bCs/>
        </w:rPr>
        <w:t xml:space="preserve">Fuel hedging:</w:t>
      </w:r>
      <w:r>
        <w:t xml:space="preserve"> </w:t>
      </w:r>
      <w:r>
        <w:t xml:space="preserve">forecasted consumption is 59%, 49%, 30% and 15% hedged via swaps for 2026, 2027, 2028 and 2029 respectively, at annual average costs of approximately $475, $408, $424 and $451 per metric ton. Watch for hedge-book updates given continued fuel volatility.</w:t>
      </w:r>
    </w:p>
    <w:p>
      <w:r>
        <w:pict>
          <v:rect style="width:0;height:1.5pt" o:hralign="center" o:hrstd="t" o:hr="t"/>
        </w:pict>
      </w:r>
    </w:p>
    <w:bookmarkEnd w:id="13"/>
    <w:bookmarkStart w:id="14" w:name="growth-pipeline-to-watch-for-commentary"/>
    <w:p>
      <w:pPr>
        <w:pStyle w:val="Heading2"/>
      </w:pPr>
      <w:r>
        <w:t xml:space="preserve">Growth Pipeline to Watch For Commentary</w:t>
      </w:r>
    </w:p>
    <w:p>
      <w:pPr>
        <w:pStyle w:val="Compact"/>
        <w:numPr>
          <w:ilvl w:val="0"/>
          <w:numId w:val="1004"/>
        </w:numPr>
      </w:pPr>
      <w:r>
        <w:rPr>
          <w:b/>
          <w:bCs/>
        </w:rPr>
        <w:t xml:space="preserve">Legend of the Seas</w:t>
      </w:r>
      <w:r>
        <w:t xml:space="preserve"> </w:t>
      </w:r>
      <w:r>
        <w:t xml:space="preserve">(third Icon-class ship) is scheduled to be delivered in Q2 2026, entering the Caribbean in November; consumer receptivity is remarkable, with a very strong book position at prices higher than those seen for Icon and Star.</w:t>
      </w:r>
    </w:p>
    <w:p>
      <w:pPr>
        <w:pStyle w:val="Compact"/>
        <w:numPr>
          <w:ilvl w:val="0"/>
          <w:numId w:val="1004"/>
        </w:numPr>
      </w:pPr>
      <w:r>
        <w:rPr>
          <w:b/>
          <w:bCs/>
        </w:rPr>
        <w:t xml:space="preserve">Icon VI and VII</w:t>
      </w:r>
      <w:r>
        <w:t xml:space="preserve"> </w:t>
      </w:r>
      <w:r>
        <w:t xml:space="preserve">were recently ordered, and RCL expects capacity growth of 4%, 6%, and 7% for 2027, 2028, and 2029 respectively.</w:t>
      </w:r>
    </w:p>
    <w:p>
      <w:pPr>
        <w:pStyle w:val="Compact"/>
        <w:numPr>
          <w:ilvl w:val="0"/>
          <w:numId w:val="1004"/>
        </w:numPr>
      </w:pPr>
      <w:r>
        <w:rPr>
          <w:b/>
          <w:bCs/>
        </w:rPr>
        <w:t xml:space="preserve">Private destinations:</w:t>
      </w:r>
      <w:r>
        <w:t xml:space="preserve"> </w:t>
      </w:r>
      <w:r>
        <w:t xml:space="preserve">Royal Beach Club Santorini has opened; the Royal Beach Club in Cozumel is now expected to open in early 2028, and Perfect Day Mexico and Costa Maya are expected to open in late 2027 and ramp up in early 2028.</w:t>
      </w:r>
    </w:p>
    <w:p>
      <w:pPr>
        <w:pStyle w:val="Compact"/>
        <w:numPr>
          <w:ilvl w:val="0"/>
          <w:numId w:val="1004"/>
        </w:numPr>
      </w:pPr>
      <w:r>
        <w:rPr>
          <w:b/>
          <w:bCs/>
        </w:rPr>
        <w:t xml:space="preserve">Loyalty/tech ecosystem:</w:t>
      </w:r>
      <w:r>
        <w:t xml:space="preserve"> </w:t>
      </w:r>
      <w:r>
        <w:t xml:space="preserve">digital penetration of bookings has more than doubled since 2019, and more than half of onboard revenue is now booked before guests step on board. Repeat-guest mix is climbing — about 40% of customers now come from the existing customer base, versus a historical even split of new/repeat — and repeat guests spend meaningfully more onboard.</w:t>
      </w:r>
    </w:p>
    <w:p>
      <w:pPr>
        <w:pStyle w:val="Compact"/>
        <w:numPr>
          <w:ilvl w:val="0"/>
          <w:numId w:val="1004"/>
        </w:numPr>
      </w:pPr>
      <w:r>
        <w:rPr>
          <w:b/>
          <w:bCs/>
        </w:rPr>
        <w:t xml:space="preserve">Governance:</w:t>
      </w:r>
      <w:r>
        <w:t xml:space="preserve"> </w:t>
      </w:r>
      <w:r>
        <w:t xml:space="preserve">RCL recently added</w:t>
      </w:r>
      <w:r>
        <w:t xml:space="preserve"> </w:t>
      </w:r>
      <w:r>
        <w:rPr>
          <w:b/>
          <w:bCs/>
        </w:rPr>
        <w:t xml:space="preserve">Tara Bunch</w:t>
      </w:r>
      <w:r>
        <w:t xml:space="preserve"> </w:t>
      </w:r>
      <w:r>
        <w:t xml:space="preserve">(former Airbnb/Apple executive) to its board (announced July 20), a modest but relevant signal on digital/customer-experience emphasis.</w:t>
      </w:r>
    </w:p>
    <w:p>
      <w:r>
        <w:pict>
          <v:rect style="width:0;height:1.5pt" o:hralign="center" o:hrstd="t" o:hr="t"/>
        </w:pict>
      </w:r>
    </w:p>
    <w:bookmarkEnd w:id="14"/>
    <w:bookmarkStart w:id="15" w:name="key-questions-for-the-call"/>
    <w:p>
      <w:pPr>
        <w:pStyle w:val="Heading2"/>
      </w:pPr>
      <w:r>
        <w:t xml:space="preserve">Key Questions for the Call</w:t>
      </w:r>
    </w:p>
    <w:p>
      <w:pPr>
        <w:pStyle w:val="Compact"/>
        <w:numPr>
          <w:ilvl w:val="0"/>
          <w:numId w:val="1005"/>
        </w:numPr>
      </w:pPr>
      <w:r>
        <w:rPr>
          <w:b/>
          <w:bCs/>
        </w:rPr>
        <w:t xml:space="preserve">Has the Mediterranean/Middle East demand recovery fully materialized</w:t>
      </w:r>
      <w:r>
        <w:t xml:space="preserve">, or is there still residual softness bleeding into Q3 (peak Med season)?</w:t>
      </w:r>
    </w:p>
    <w:p>
      <w:pPr>
        <w:pStyle w:val="Compact"/>
        <w:numPr>
          <w:ilvl w:val="0"/>
          <w:numId w:val="1005"/>
        </w:numPr>
      </w:pPr>
      <w:r>
        <w:rPr>
          <w:b/>
          <w:bCs/>
        </w:rPr>
        <w:t xml:space="preserve">Fuel trajectory</w:t>
      </w:r>
      <w:r>
        <w:t xml:space="preserve"> </w:t>
      </w:r>
      <w:r>
        <w:t xml:space="preserve">— has the $0.62/share full-year headwind changed given fuel price moves since April, and how is the hedge book evolving into 2027?</w:t>
      </w:r>
    </w:p>
    <w:p>
      <w:pPr>
        <w:pStyle w:val="Compact"/>
        <w:numPr>
          <w:ilvl w:val="0"/>
          <w:numId w:val="1005"/>
        </w:numPr>
      </w:pPr>
      <w:r>
        <w:rPr>
          <w:b/>
          <w:bCs/>
        </w:rPr>
        <w:t xml:space="preserve">Cost cadence</w:t>
      </w:r>
      <w:r>
        <w:t xml:space="preserve"> </w:t>
      </w:r>
      <w:r>
        <w:t xml:space="preserve">— will NCC ex-fuel decelerate meaningfully in 2H as dry-dock timing normalizes, supporting the full-year "approximately flat" guide?</w:t>
      </w:r>
    </w:p>
    <w:p>
      <w:pPr>
        <w:pStyle w:val="Compact"/>
        <w:numPr>
          <w:ilvl w:val="0"/>
          <w:numId w:val="1005"/>
        </w:numPr>
      </w:pPr>
      <w:r>
        <w:rPr>
          <w:b/>
          <w:bCs/>
        </w:rPr>
        <w:t xml:space="preserve">Path to the "smiley face" Q4 acceleration</w:t>
      </w:r>
      <w:r>
        <w:t xml:space="preserve"> </w:t>
      </w:r>
      <w:r>
        <w:t xml:space="preserve">— how much visibility does management have into Q4/2027 bookings that supports mid-single-digit-plus yield growth implied by the full-year guide?</w:t>
      </w:r>
    </w:p>
    <w:p>
      <w:pPr>
        <w:pStyle w:val="Compact"/>
        <w:numPr>
          <w:ilvl w:val="0"/>
          <w:numId w:val="1005"/>
        </w:numPr>
      </w:pPr>
      <w:r>
        <w:rPr>
          <w:b/>
          <w:bCs/>
        </w:rPr>
        <w:t xml:space="preserve">TUI Cruises earnings drag</w:t>
      </w:r>
      <w:r>
        <w:t xml:space="preserve"> </w:t>
      </w:r>
      <w:r>
        <w:t xml:space="preserve">— any update on the $0.12/share full-year headwind from lower JV contribution?</w:t>
      </w:r>
    </w:p>
    <w:p>
      <w:pPr>
        <w:pStyle w:val="Compact"/>
        <w:numPr>
          <w:ilvl w:val="0"/>
          <w:numId w:val="1005"/>
        </w:numPr>
      </w:pPr>
      <w:r>
        <w:rPr>
          <w:b/>
          <w:bCs/>
        </w:rPr>
        <w:t xml:space="preserve">Capital allocation</w:t>
      </w:r>
      <w:r>
        <w:t xml:space="preserve"> </w:t>
      </w:r>
      <w:r>
        <w:t xml:space="preserve">— pace of buybacks against the remaining $1 billion authorization, and any dividend commentary.</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Heading into Tuesday, RCL's setup is a classic "know the bad news" situation: consensus already bakes in a ~10% EPS decline driven by fuel costs, dry-dock timing, and Middle East-related demand disruption to Mediterranean and West Coast Mexico itineraries — all flagged explicitly by management in April guidance. The underlying demand engine — record WAVE bookings, resilient U.S. consumer spending on experiences, strong onboard revenue, and loyalty/repeat-guest momentum — appears intact, corroborated by Carnival's resilient fiscal Q2 results and demand-reversal commentary. The stock trades meaningfully below both its 52-week high (~</w:t>
      </w:r>
      <m:oMath>
        <m:r>
          <m:t>366</m:t>
        </m:r>
        <m:r>
          <m:rPr>
            <m:sty m:val="p"/>
          </m:rPr>
          <m:t>)</m:t>
        </m:r>
        <m:r>
          <m:t>a</m:t>
        </m:r>
        <m:r>
          <m:t>n</m:t>
        </m:r>
        <m:r>
          <m:t>d</m:t>
        </m:r>
        <m:r>
          <m:t>t</m:t>
        </m:r>
        <m:r>
          <m:t>h</m:t>
        </m:r>
        <m:r>
          <m:t>e</m:t>
        </m:r>
        <m:r>
          <m:t> </m:t>
        </m:r>
      </m:oMath>
      <w:r>
        <w:t xml:space="preserve">339–347 average analyst price target, suggesting the market may already be pricing in the near-term yield/cost headwinds. The critical variables for the stock's reaction will likely be less about the Q2 print itself (which management has guided closely) and more about</w:t>
      </w:r>
      <w:r>
        <w:t xml:space="preserve"> </w:t>
      </w:r>
      <w:r>
        <w:rPr>
          <w:b/>
          <w:bCs/>
        </w:rPr>
        <w:t xml:space="preserve">commentary on the durability of the Mediterranean booking rebound, Q3/Q4 yield trajectory, and any incremental fuel or cost guidance</w:t>
      </w:r>
      <w:r>
        <w:t xml:space="preserve"> </w:t>
      </w:r>
      <w:r>
        <w:t xml:space="preserve">for the back half of the year.</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2026-07-28T00:49:59Z</dcterms:created>
  <dcterms:modified xsi:type="dcterms:W3CDTF">2026-07-28T00:49:59Z</dcterms:modified>
</cp:coreProperties>
</file>

<file path=docProps/custom.xml><?xml version="1.0" encoding="utf-8"?>
<Properties xmlns="http://schemas.openxmlformats.org/officeDocument/2006/custom-properties" xmlns:vt="http://schemas.openxmlformats.org/officeDocument/2006/docPropsVTypes"/>
</file>