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cl-earnings-predictions--2026-07-28"/>
    <w:p>
      <w:pPr>
        <w:pStyle w:val="Heading1"/>
      </w:pPr>
      <w:r>
        <w:t xml:space="preserve">RCL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RCL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~$4.03 vs. cons $3.97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RCL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~$4.85B vs. cons $4.81B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RCL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constant-currency net-yield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~0.5% vs. cons 0.2%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 midpoint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~$16.90 vs. cons $17.30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adjusted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~$5.45 vs. cons $5.70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constant-currency net-yield growth guidance midpoint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~1.8% vs. cons 2.0%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RCL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-6.5%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RCL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-9.0% (FOLLOW-THROUGH)</w:t>
            </w:r>
          </w:p>
        </w:tc>
        <w:tc>
          <w:tcPr/>
          <w:p>
            <w:pPr>
              <w:pStyle w:val="Compact"/>
            </w:pPr>
            <w:r>
              <w:t xml:space="preserve">A modest Q2 beat is outweighed by an implied FY2026 EPS midpoint cut to ~$16.90 versus consensus of</w:t>
            </w:r>
            <w:r>
              <w:t xml:space="preserve"> </w:t>
            </w:r>
            <m:oMath>
              <m:r>
                <m:t>17.30</m:t>
              </m:r>
              <m:r>
                <m:t>a</m:t>
              </m:r>
              <m:r>
                <m:t>n</m:t>
              </m:r>
              <m:r>
                <m:t>d</m:t>
              </m:r>
              <m:r>
                <m:t>Q</m:t>
              </m:r>
              <m:r>
                <m:t>3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5.45 versus consensus of $5.70; higher fuel and geopolitical costs should drive estimate revisions after the initial reaction.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2026-07-28T00:51:03Z</dcterms:created>
  <dcterms:modified xsi:type="dcterms:W3CDTF">2026-07-28T00:51:03Z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