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5ee4193099ce068d4c764b5b9db4f0f63f1f099"/>
    <w:p>
      <w:pPr>
        <w:pStyle w:val="Heading1"/>
      </w:pPr>
      <w:r>
        <w:t xml:space="preserve">Royal Caribbean Group (RCL) — Q2 2026 Earnings Preview</w:t>
      </w:r>
    </w:p>
    <w:p>
      <w:pPr>
        <w:pStyle w:val="BlockText"/>
      </w:pPr>
      <w:r>
        <w:rPr>
          <w:b/>
          <w:bCs/>
        </w:rPr>
        <w:t xml:space="preserve">Timing note:</w:t>
      </w:r>
      <w:r>
        <w:t xml:space="preserve"> </w:t>
      </w:r>
      <w:r>
        <w:t xml:space="preserve">RCL is scheduled to report</w:t>
      </w:r>
      <w:r>
        <w:t xml:space="preserve"> </w:t>
      </w:r>
      <w:r>
        <w:rPr>
          <w:b/>
          <w:bCs/>
        </w:rPr>
        <w:t xml:space="preserve">before the market opens on Tuesday, July 28, 2026 — today, rather than tomorrow</w:t>
      </w:r>
      <w:r>
        <w:t xml:space="preserve"> </w:t>
      </w:r>
      <w:r>
        <w:t xml:space="preserve">— for the quarter ended June 30. (</w:t>
      </w:r>
      <w:hyperlink r:id="rId9">
        <w:r>
          <w:rPr>
            <w:rStyle w:val="Hyperlink"/>
          </w:rPr>
          <w:t xml:space="preserve">tipranks.com</w:t>
        </w:r>
      </w:hyperlink>
      <w:r>
        <w:t xml:space="preserve">)</w:t>
      </w:r>
    </w:p>
    <w:bookmarkStart w:id="10" w:name="executive-view"/>
    <w:p>
      <w:pPr>
        <w:pStyle w:val="Heading2"/>
      </w:pPr>
      <w:r>
        <w:t xml:space="preserve">Executive view</w:t>
      </w:r>
    </w:p>
    <w:p>
      <w:pPr>
        <w:pStyle w:val="FirstParagraph"/>
      </w:pPr>
      <w:r>
        <w:t xml:space="preserve">This is an unusually noisy quarter. Royal Caribbean entered Q2 with healthy underlying demand, but the reported numbers face significant headwinds from:</w:t>
      </w:r>
    </w:p>
    <w:p>
      <w:pPr>
        <w:pStyle w:val="Compact"/>
        <w:numPr>
          <w:ilvl w:val="0"/>
          <w:numId w:val="1001"/>
        </w:numPr>
      </w:pPr>
      <w:r>
        <w:t xml:space="preserve">Middle East-related disruption to Mediterranean bookings and TUI Cruises</w:t>
      </w:r>
    </w:p>
    <w:p>
      <w:pPr>
        <w:pStyle w:val="Compact"/>
        <w:numPr>
          <w:ilvl w:val="0"/>
          <w:numId w:val="1001"/>
        </w:numPr>
      </w:pPr>
      <w:r>
        <w:t xml:space="preserve">Higher fuel prices</w:t>
      </w:r>
    </w:p>
    <w:p>
      <w:pPr>
        <w:pStyle w:val="Compact"/>
        <w:numPr>
          <w:ilvl w:val="0"/>
          <w:numId w:val="1001"/>
        </w:numPr>
      </w:pPr>
      <w:r>
        <w:t xml:space="preserve">More drydock days</w:t>
      </w:r>
    </w:p>
    <w:p>
      <w:pPr>
        <w:pStyle w:val="Compact"/>
        <w:numPr>
          <w:ilvl w:val="0"/>
          <w:numId w:val="1001"/>
        </w:numPr>
      </w:pPr>
      <w:r>
        <w:t xml:space="preserve">Elevated crew-travel costs</w:t>
      </w:r>
    </w:p>
    <w:p>
      <w:pPr>
        <w:pStyle w:val="Compact"/>
        <w:numPr>
          <w:ilvl w:val="0"/>
          <w:numId w:val="1001"/>
        </w:numPr>
      </w:pPr>
      <w:r>
        <w:t xml:space="preserve">A difficult comparison with an exceptionally strong Q2 2025</w:t>
      </w:r>
    </w:p>
    <w:p>
      <w:pPr>
        <w:pStyle w:val="FirstParagraph"/>
      </w:pPr>
      <w:r>
        <w:t xml:space="preserve">Consequently,</w:t>
      </w:r>
      <w:r>
        <w:t xml:space="preserve"> </w:t>
      </w:r>
      <w:r>
        <w:rPr>
          <w:b/>
          <w:bCs/>
        </w:rPr>
        <w:t xml:space="preserve">a year-over-year EPS decline would not necessarily indicate weakening fundamentals</w:t>
      </w:r>
      <w:r>
        <w:t xml:space="preserve">. The more important questions are whether Mediterranean demand has continued to recover, whether costs normalize in the second half, and whether management can maintain or raise its</w:t>
      </w:r>
      <w:r>
        <w:t xml:space="preserve"> </w:t>
      </w:r>
      <m:oMath>
        <m:r>
          <m:t>17.10</m:t>
        </m:r>
        <m:r>
          <m:rPr>
            <m:sty m:val="p"/>
          </m:rPr>
          <m:t>–</m:t>
        </m:r>
      </m:oMath>
      <w:r>
        <w:rPr>
          <w:b/>
          <w:bCs/>
        </w:rPr>
        <w:t xml:space="preserve">17.50 full-year EPS outlook</w:t>
      </w:r>
      <w:r>
        <w:t xml:space="preserve">.</w:t>
      </w:r>
    </w:p>
    <w:bookmarkEnd w:id="10"/>
    <w:bookmarkStart w:id="13" w:name="expectations-going-into-the-report"/>
    <w:p>
      <w:pPr>
        <w:pStyle w:val="Heading2"/>
      </w:pPr>
      <w:r>
        <w:t xml:space="preserve">Expectations going into the report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Q2 2026 expectation</w:t>
            </w:r>
          </w:p>
        </w:tc>
        <w:tc>
          <w:tcPr/>
          <w:p>
            <w:pPr>
              <w:pStyle w:val="Compact"/>
              <w:jc w:val="right"/>
            </w:pPr>
            <w:r>
              <w:t xml:space="preserve">Q2 2025 actual</w:t>
            </w:r>
          </w:p>
        </w:tc>
      </w:tr>
      <w:tr>
        <w:tc>
          <w:tcPr/>
          <w:p>
            <w:pPr>
              <w:pStyle w:val="Compact"/>
            </w:pPr>
            <w:r>
              <w:t xml:space="preserve">Revenue</w:t>
            </w:r>
          </w:p>
        </w:tc>
        <w:tc>
          <w:tcPr/>
          <w:p>
            <w:pPr>
              <w:pStyle w:val="Compact"/>
              <w:jc w:val="right"/>
            </w:pPr>
            <w:r>
              <w:t xml:space="preserve">Approximately</w:t>
            </w:r>
            <w:r>
              <w:t xml:space="preserve"> </w:t>
            </w:r>
            <m:oMath>
              <m:r>
                <m:t>4.8</m:t>
              </m:r>
              <m:r>
                <m:rPr>
                  <m:sty m:val="p"/>
                </m:rPr>
                <m:t>–</m:t>
              </m:r>
            </m:oMath>
            <w:r>
              <w:rPr>
                <w:b/>
                <w:bCs/>
              </w:rPr>
              <w:t xml:space="preserve">4.9 billion</w:t>
            </w:r>
          </w:p>
        </w:tc>
        <w:tc>
          <w:tcPr/>
          <w:p>
            <w:pPr>
              <w:pStyle w:val="Compact"/>
              <w:jc w:val="right"/>
            </w:pPr>
            <w:r>
              <w:t xml:space="preserve">$4.54 billion</w:t>
            </w:r>
          </w:p>
        </w:tc>
      </w:tr>
      <w:tr>
        <w:tc>
          <w:tcPr/>
          <w:p>
            <w:pPr>
              <w:pStyle w:val="Compact"/>
            </w:pPr>
            <w:r>
              <w:t xml:space="preserve">Adjusted EPS — company guidance</w:t>
            </w:r>
          </w:p>
        </w:tc>
        <w:tc>
          <w:tcPr/>
          <w:p>
            <w:pPr>
              <w:pStyle w:val="Compact"/>
              <w:jc w:val="right"/>
            </w:pPr>
            <m:oMath>
              <m:r>
                <m:t>3.83</m:t>
              </m:r>
              <m:r>
                <m:rPr>
                  <m:sty m:val="p"/>
                </m:rPr>
                <m:t>–</m:t>
              </m:r>
            </m:oMath>
            <w:r>
              <w:rPr>
                <w:b/>
                <w:bCs/>
              </w:rPr>
              <w:t xml:space="preserve">3.93</w:t>
            </w:r>
          </w:p>
        </w:tc>
        <w:tc>
          <w:tcPr/>
          <w:p>
            <w:pPr>
              <w:pStyle w:val="Compact"/>
              <w:jc w:val="right"/>
            </w:pPr>
            <w:r>
              <w:t xml:space="preserve">$4.38</w:t>
            </w:r>
          </w:p>
        </w:tc>
      </w:tr>
      <w:tr>
        <w:tc>
          <w:tcPr/>
          <w:p>
            <w:pPr>
              <w:pStyle w:val="Compact"/>
            </w:pPr>
            <w:r>
              <w:t xml:space="preserve">Adjusted EPS — current consensus snapshots</w:t>
            </w:r>
          </w:p>
        </w:tc>
        <w:tc>
          <w:tcPr/>
          <w:p>
            <w:pPr>
              <w:pStyle w:val="Compact"/>
              <w:jc w:val="right"/>
            </w:pPr>
            <w:r>
              <w:t xml:space="preserve">Approximately</w:t>
            </w:r>
            <w:r>
              <w:t xml:space="preserve"> </w:t>
            </w:r>
            <m:oMath>
              <m:r>
                <m:t>3.97</m:t>
              </m:r>
              <m:r>
                <m:rPr>
                  <m:sty m:val="p"/>
                </m:rPr>
                <m:t>–</m:t>
              </m:r>
            </m:oMath>
            <w:r>
              <w:rPr>
                <w:b/>
                <w:bCs/>
              </w:rPr>
              <w:t xml:space="preserve">3.98</w:t>
            </w:r>
          </w:p>
        </w:tc>
        <w:tc>
          <w:tcPr/>
          <w:p>
            <w:pPr>
              <w:pStyle w:val="Compact"/>
              <w:jc w:val="right"/>
            </w:pPr>
            <w:r>
              <w:t xml:space="preserve">$4.38</w:t>
            </w:r>
          </w:p>
        </w:tc>
      </w:tr>
      <w:tr>
        <w:tc>
          <w:tcPr/>
          <w:p>
            <w:pPr>
              <w:pStyle w:val="Compact"/>
            </w:pPr>
            <w:r>
              <w:t xml:space="preserve">Capacity growth</w:t>
            </w:r>
          </w:p>
        </w:tc>
        <w:tc>
          <w:tcPr/>
          <w:p>
            <w:pPr>
              <w:pStyle w:val="Compact"/>
              <w:jc w:val="right"/>
            </w:pPr>
            <w:r>
              <w:rPr>
                <w:b/>
                <w:bCs/>
              </w:rPr>
              <w:t xml:space="preserve">4.9%</w:t>
            </w:r>
          </w:p>
        </w:tc>
        <w:tc>
          <w:tcPr/>
          <w:p>
            <w:pPr>
              <w:pStyle w:val="Compact"/>
              <w:jc w:val="right"/>
            </w:pPr>
            <w:r>
              <w:t xml:space="preserve">5.8%</w:t>
            </w:r>
          </w:p>
        </w:tc>
      </w:tr>
      <w:tr>
        <w:tc>
          <w:tcPr/>
          <w:p>
            <w:pPr>
              <w:pStyle w:val="Compact"/>
            </w:pPr>
            <w:r>
              <w:t xml:space="preserve">Constant-currency net-yield growth</w:t>
            </w:r>
          </w:p>
        </w:tc>
        <w:tc>
          <w:tcPr/>
          <w:p>
            <w:pPr>
              <w:pStyle w:val="Compact"/>
              <w:jc w:val="right"/>
            </w:pPr>
            <w:r>
              <w:t xml:space="preserve">Approximately</w:t>
            </w:r>
            <w:r>
              <w:t xml:space="preserve"> </w:t>
            </w:r>
            <w:r>
              <w:rPr>
                <w:b/>
                <w:bCs/>
              </w:rPr>
              <w:t xml:space="preserve">0.2%</w:t>
            </w:r>
          </w:p>
        </w:tc>
        <w:tc>
          <w:tcPr/>
          <w:p>
            <w:pPr>
              <w:pStyle w:val="Compact"/>
              <w:jc w:val="right"/>
            </w:pPr>
            <w:r>
              <w:t xml:space="preserve">5.2%</w:t>
            </w:r>
          </w:p>
        </w:tc>
      </w:tr>
      <w:tr>
        <w:tc>
          <w:tcPr/>
          <w:p>
            <w:pPr>
              <w:pStyle w:val="Compact"/>
            </w:pPr>
            <w:r>
              <w:t xml:space="preserve">Constant-currency net cruise cost growth ex-fuel</w:t>
            </w:r>
          </w:p>
        </w:tc>
        <w:tc>
          <w:tcPr/>
          <w:p>
            <w:pPr>
              <w:pStyle w:val="Compact"/>
              <w:jc w:val="right"/>
            </w:pPr>
            <w:r>
              <w:rPr>
                <w:b/>
                <w:bCs/>
              </w:rPr>
              <w:t xml:space="preserve">4.6%–5.1%</w:t>
            </w:r>
          </w:p>
        </w:tc>
        <w:tc>
          <w:tcPr/>
          <w:p>
            <w:pPr>
              <w:pStyle w:val="Compact"/>
              <w:jc w:val="right"/>
            </w:pPr>
            <w:r>
              <w:t xml:space="preserve">2.1%</w:t>
            </w:r>
          </w:p>
        </w:tc>
      </w:tr>
      <w:tr>
        <w:tc>
          <w:tcPr/>
          <w:p>
            <w:pPr>
              <w:pStyle w:val="Compact"/>
            </w:pPr>
            <w:r>
              <w:t xml:space="preserve">Fuel expense</w:t>
            </w:r>
          </w:p>
        </w:tc>
        <w:tc>
          <w:tcPr/>
          <w:p>
            <w:pPr>
              <w:pStyle w:val="Compact"/>
              <w:jc w:val="right"/>
            </w:pPr>
            <w:r>
              <w:t xml:space="preserve">Approximately</w:t>
            </w:r>
            <w:r>
              <w:t xml:space="preserve"> </w:t>
            </w:r>
            <w:r>
              <w:rPr>
                <w:b/>
                <w:bCs/>
              </w:rPr>
              <w:t xml:space="preserve">$346 million</w:t>
            </w:r>
          </w:p>
        </w:tc>
        <w:tc>
          <w:tcPr/>
          <w:p>
            <w:pPr>
              <w:pStyle w:val="Compact"/>
              <w:jc w:val="right"/>
            </w:pPr>
            <w:r>
              <w:t xml:space="preserve">$279 million</w:t>
            </w:r>
          </w:p>
        </w:tc>
      </w:tr>
    </w:tbl>
    <w:p>
      <w:pPr>
        <w:pStyle w:val="BodyText"/>
      </w:pPr>
      <w:r>
        <w:t xml:space="preserve">Company guidance comes from its April earnings presentation; third-party consensus snapshots vary slightly but sit above the top of management’s range. (</w:t>
      </w:r>
      <w:hyperlink r:id="rId11">
        <w:r>
          <w:rPr>
            <w:rStyle w:val="Hyperlink"/>
          </w:rPr>
          <w:t xml:space="preserve">rclinvestor.com</w:t>
        </w:r>
      </w:hyperlink>
      <w:r>
        <w:t xml:space="preserve">)</w:t>
      </w:r>
    </w:p>
    <w:bookmarkStart w:id="12" w:name="Xad5a4e1c60b18ebdf9859809d22cb8efcb6411f"/>
    <w:p>
      <w:pPr>
        <w:pStyle w:val="Heading3"/>
      </w:pPr>
      <w:r>
        <w:t xml:space="preserve">The first hurdle is already above management’s range</w:t>
      </w:r>
    </w:p>
    <w:p>
      <w:pPr>
        <w:pStyle w:val="FirstParagraph"/>
      </w:pPr>
      <w:r>
        <w:t xml:space="preserve">The Street is effectively pricing in a modest beat: consensus EPS of roughly $3.98 is about $0.05 above the high end of company guidance. Therefore:</w:t>
      </w:r>
    </w:p>
    <w:p>
      <w:pPr>
        <w:pStyle w:val="Compact"/>
        <w:numPr>
          <w:ilvl w:val="0"/>
          <w:numId w:val="1002"/>
        </w:numPr>
      </w:pPr>
      <m:oMath>
        <m:r>
          <m:t>3.90</m:t>
        </m:r>
        <m:r>
          <m:rPr>
            <m:sty m:val="p"/>
          </m:rPr>
          <m:t>–</m:t>
        </m:r>
      </m:oMath>
      <w:r>
        <w:rPr>
          <w:b/>
          <w:bCs/>
        </w:rPr>
        <w:t xml:space="preserve">3.93 without an improved outlook may not be enough.</w:t>
      </w:r>
    </w:p>
    <w:p>
      <w:pPr>
        <w:pStyle w:val="Compact"/>
        <w:numPr>
          <w:ilvl w:val="0"/>
          <w:numId w:val="1002"/>
        </w:numPr>
      </w:pPr>
      <w:r>
        <w:t xml:space="preserve">A clean</w:t>
      </w:r>
      <w:r>
        <w:t xml:space="preserve"> </w:t>
      </w:r>
      <w:r>
        <w:rPr>
          <w:b/>
          <w:bCs/>
        </w:rPr>
        <w:t xml:space="preserve">$4.00-plus result</w:t>
      </w:r>
      <w:r>
        <w:t xml:space="preserve">, accompanied by reassuring booking commentary, would be a more convincing positive.</w:t>
      </w:r>
    </w:p>
    <w:p>
      <w:pPr>
        <w:pStyle w:val="Compact"/>
        <w:numPr>
          <w:ilvl w:val="0"/>
          <w:numId w:val="1002"/>
        </w:numPr>
      </w:pPr>
      <w:r>
        <w:t xml:space="preserve">A reported beat driven primarily by fuel, currency, interest expense or share count will be less valuable than one driven by yields and operating costs.</w:t>
      </w:r>
    </w:p>
    <w:bookmarkEnd w:id="12"/>
    <w:bookmarkEnd w:id="13"/>
    <w:bookmarkStart w:id="14" w:name="X2a6a45a60562114b372f669e3bab1849fd2810c"/>
    <w:p>
      <w:pPr>
        <w:pStyle w:val="Heading2"/>
      </w:pPr>
      <w:r>
        <w:t xml:space="preserve">The central issue: demand after the geopolitical disruption</w:t>
      </w:r>
    </w:p>
    <w:p>
      <w:pPr>
        <w:pStyle w:val="FirstParagraph"/>
      </w:pPr>
      <w:r>
        <w:t xml:space="preserve">At the Q1 call, management said Mediterranean bookings had moderated after the Middle East conflict increased airfares, reduced airline capacity and raised concerns about travel disruption. West Coast Mexico bookings also softened. Management nevertheless emphasized that bookings had subsequently recovered and that the remaining Q2 and Q3 inventory was limited.</w:t>
      </w:r>
    </w:p>
    <w:p>
      <w:pPr>
        <w:pStyle w:val="BodyText"/>
      </w:pPr>
      <w:r>
        <w:t xml:space="preserve">The report should reveal whether that recovery persisted through May, June and July. Investors should listen for:</w:t>
      </w:r>
    </w:p>
    <w:p>
      <w:pPr>
        <w:numPr>
          <w:ilvl w:val="0"/>
          <w:numId w:val="1003"/>
        </w:numPr>
      </w:pPr>
      <w:r>
        <w:rPr>
          <w:b/>
          <w:bCs/>
        </w:rPr>
        <w:t xml:space="preserve">Booking volumes and pricing for 2027.</w:t>
      </w:r>
      <w:r>
        <w:br/>
      </w:r>
      <w:r>
        <w:t xml:space="preserve">Strength in next year’s bookings would support the view that the disruption is temporary rather than a deterioration in cruise demand.</w:t>
      </w:r>
    </w:p>
    <w:p>
      <w:pPr>
        <w:numPr>
          <w:ilvl w:val="0"/>
          <w:numId w:val="1003"/>
        </w:numPr>
      </w:pPr>
      <w:r>
        <w:rPr>
          <w:b/>
          <w:bCs/>
        </w:rPr>
        <w:t xml:space="preserve">Mediterranean close-in pricing.</w:t>
      </w:r>
      <w:r>
        <w:br/>
      </w:r>
      <w:r>
        <w:t xml:space="preserve">A recovery in volume achieved through discounting would be less encouraging than a recovery at maintained prices.</w:t>
      </w:r>
    </w:p>
    <w:p>
      <w:pPr>
        <w:numPr>
          <w:ilvl w:val="0"/>
          <w:numId w:val="1003"/>
        </w:numPr>
      </w:pPr>
      <w:r>
        <w:rPr>
          <w:b/>
          <w:bCs/>
        </w:rPr>
        <w:t xml:space="preserve">Caribbean performance.</w:t>
      </w:r>
      <w:r>
        <w:br/>
      </w:r>
      <w:r>
        <w:t xml:space="preserve">The Caribbean represented roughly half of Q2 capacity and is central to Royal Caribbean’s differentiated ship-and-destination strategy.</w:t>
      </w:r>
    </w:p>
    <w:p>
      <w:pPr>
        <w:numPr>
          <w:ilvl w:val="0"/>
          <w:numId w:val="1003"/>
        </w:numPr>
      </w:pPr>
      <w:r>
        <w:rPr>
          <w:b/>
          <w:bCs/>
        </w:rPr>
        <w:t xml:space="preserve">Onboard spending.</w:t>
      </w:r>
      <w:r>
        <w:br/>
      </w:r>
      <w:r>
        <w:t xml:space="preserve">This is an important test of consumer health. Stable participation and higher spend per passenger would help offset muted ticket-yield growth.</w:t>
      </w:r>
    </w:p>
    <w:p>
      <w:pPr>
        <w:numPr>
          <w:ilvl w:val="0"/>
          <w:numId w:val="1003"/>
        </w:numPr>
      </w:pPr>
      <w:r>
        <w:rPr>
          <w:b/>
          <w:bCs/>
        </w:rPr>
        <w:t xml:space="preserve">Booked load factors versus pricing.</w:t>
      </w:r>
      <w:r>
        <w:br/>
      </w:r>
      <w:r>
        <w:t xml:space="preserve">Investors should prefer management protecting rate integrity rather than filling the final cabins through aggressive promotions.</w:t>
      </w:r>
    </w:p>
    <w:bookmarkEnd w:id="14"/>
    <w:bookmarkStart w:id="17" w:name="Xf0b9daf60304dacc2b1795940ab22a65fc5cfea"/>
    <w:p>
      <w:pPr>
        <w:pStyle w:val="Heading2"/>
      </w:pPr>
      <w:r>
        <w:t xml:space="preserve">Q2 earnings are less important than the second-half bridge</w:t>
      </w:r>
    </w:p>
    <w:p>
      <w:pPr>
        <w:pStyle w:val="FirstParagraph"/>
      </w:pPr>
      <w:r>
        <w:t xml:space="preserve">Royal Caribbean’s April full-year outlook called for:</w:t>
      </w:r>
    </w:p>
    <w:p>
      <w:pPr>
        <w:pStyle w:val="Compact"/>
        <w:numPr>
          <w:ilvl w:val="0"/>
          <w:numId w:val="1004"/>
        </w:numPr>
      </w:pPr>
      <w:r>
        <w:t xml:space="preserve">Adjusted EPS of</w:t>
      </w:r>
      <w:r>
        <w:t xml:space="preserve"> </w:t>
      </w:r>
      <m:oMath>
        <m:r>
          <m:t>17.10</m:t>
        </m:r>
        <m:r>
          <m:rPr>
            <m:sty m:val="p"/>
          </m:rPr>
          <m:t>–</m:t>
        </m:r>
      </m:oMath>
      <w:r>
        <w:rPr>
          <w:b/>
          <w:bCs/>
        </w:rPr>
        <w:t xml:space="preserve">17.50</w:t>
      </w:r>
    </w:p>
    <w:p>
      <w:pPr>
        <w:pStyle w:val="Compact"/>
        <w:numPr>
          <w:ilvl w:val="0"/>
          <w:numId w:val="1004"/>
        </w:numPr>
      </w:pPr>
      <w:r>
        <w:t xml:space="preserve">Constant-currency net-yield growth of</w:t>
      </w:r>
      <w:r>
        <w:t xml:space="preserve"> </w:t>
      </w:r>
      <w:r>
        <w:rPr>
          <w:b/>
          <w:bCs/>
        </w:rPr>
        <w:t xml:space="preserve">1.5%–2.5%</w:t>
      </w:r>
    </w:p>
    <w:p>
      <w:pPr>
        <w:pStyle w:val="Compact"/>
        <w:numPr>
          <w:ilvl w:val="0"/>
          <w:numId w:val="1004"/>
        </w:numPr>
      </w:pPr>
      <w:r>
        <w:t xml:space="preserve">Approximately flat constant-currency net cruise costs excluding fuel</w:t>
      </w:r>
    </w:p>
    <w:p>
      <w:pPr>
        <w:pStyle w:val="Compact"/>
        <w:numPr>
          <w:ilvl w:val="0"/>
          <w:numId w:val="1004"/>
        </w:numPr>
      </w:pPr>
      <w:r>
        <w:t xml:space="preserve">6.7% capacity growth</w:t>
      </w:r>
    </w:p>
    <w:p>
      <w:pPr>
        <w:pStyle w:val="Compact"/>
        <w:numPr>
          <w:ilvl w:val="0"/>
          <w:numId w:val="1004"/>
        </w:numPr>
      </w:pPr>
      <w:r>
        <w:t xml:space="preserve">Approximately $1.35 billion of fuel expense</w:t>
      </w:r>
    </w:p>
    <w:p>
      <w:pPr>
        <w:pStyle w:val="FirstParagraph"/>
      </w:pPr>
      <w:r>
        <w:t xml:space="preserve">The company had originally guided to</w:t>
      </w:r>
      <w:r>
        <w:t xml:space="preserve"> </w:t>
      </w:r>
      <m:oMath>
        <m:r>
          <m:t>17.70</m:t>
        </m:r>
        <m:r>
          <m:rPr>
            <m:sty m:val="p"/>
          </m:rPr>
          <m:t>–</m:t>
        </m:r>
      </m:oMath>
      <w:r>
        <w:t xml:space="preserve">18.10 in January. The April reduction reflected a $0.62-per-share fuel impact and $0.12 from weaker joint-venture income, partly offset by Q1 outperformance, lower non-fuel costs and repurchases. (</w:t>
      </w:r>
      <w:hyperlink r:id="rId11">
        <w:r>
          <w:rPr>
            <w:rStyle w:val="Hyperlink"/>
          </w:rPr>
          <w:t xml:space="preserve">rclinvestor.com</w:t>
        </w:r>
      </w:hyperlink>
      <w:r>
        <w:t xml:space="preserve">)</w:t>
      </w:r>
    </w:p>
    <w:p>
      <w:pPr>
        <w:pStyle w:val="BodyText"/>
      </w:pPr>
      <w:r>
        <w:t xml:space="preserve">The full-year EPS range implies a strong second half. Using Q1 adjusted EPS of $3.60 and the Q2 guidance midpoint of</w:t>
      </w:r>
      <w:r>
        <w:t xml:space="preserve"> </w:t>
      </w:r>
      <m:oMath>
        <m:r>
          <m:t>3.88</m:t>
        </m:r>
        <m:r>
          <m:rPr>
            <m:sty m:val="p"/>
          </m:rPr>
          <m:t>,</m:t>
        </m:r>
        <m:r>
          <m:t>R</m:t>
        </m:r>
        <m:r>
          <m:t>C</m:t>
        </m:r>
        <m:r>
          <m:t>L</m:t>
        </m:r>
        <m:r>
          <m:t>w</m:t>
        </m:r>
        <m:r>
          <m:t>o</m:t>
        </m:r>
        <m:r>
          <m:t>u</m:t>
        </m:r>
        <m:r>
          <m:t>l</m:t>
        </m:r>
        <m:r>
          <m:t>d</m:t>
        </m:r>
        <m:r>
          <m:t>n</m:t>
        </m:r>
        <m:r>
          <m:t>e</m:t>
        </m:r>
        <m:r>
          <m:t>e</m:t>
        </m:r>
        <m:r>
          <m:t>d</m:t>
        </m:r>
        <m:r>
          <m:t>a</m:t>
        </m:r>
        <m:r>
          <m:t>p</m:t>
        </m:r>
        <m:r>
          <m:t>p</m:t>
        </m:r>
        <m:r>
          <m:t>r</m:t>
        </m:r>
        <m:r>
          <m:t>o</m:t>
        </m:r>
        <m:r>
          <m:t>x</m:t>
        </m:r>
        <m:r>
          <m:t>i</m:t>
        </m:r>
        <m:r>
          <m:t>m</m:t>
        </m:r>
        <m:r>
          <m:t>a</m:t>
        </m:r>
        <m:r>
          <m:t>t</m:t>
        </m:r>
        <m:r>
          <m:t>e</m:t>
        </m:r>
        <m:r>
          <m:t>l</m:t>
        </m:r>
        <m:r>
          <m:t>y</m:t>
        </m:r>
        <m:r>
          <m:rPr>
            <m:sty m:val="p"/>
          </m:rPr>
          <m:t>*</m:t>
        </m:r>
        <m:r>
          <m:rPr>
            <m:sty m:val="p"/>
          </m:rPr>
          <m:t>*</m:t>
        </m:r>
      </m:oMath>
      <w:r>
        <w:t xml:space="preserve">9.6–$10.0 of H2 EPS** to reach its annual target. That is roughly</w:t>
      </w:r>
      <w:r>
        <w:t xml:space="preserve"> </w:t>
      </w:r>
      <w:r>
        <w:rPr>
          <w:b/>
          <w:bCs/>
        </w:rPr>
        <w:t xml:space="preserve">13%–17% growth</w:t>
      </w:r>
      <w:r>
        <w:t xml:space="preserve"> </w:t>
      </w:r>
      <w:r>
        <w:t xml:space="preserve">over the combined Q3 and Q4 2025 results.</w:t>
      </w:r>
    </w:p>
    <w:p>
      <w:pPr>
        <w:pStyle w:val="BodyText"/>
      </w:pPr>
      <w:r>
        <w:t xml:space="preserve">That makes the following guidance items especially important:</w:t>
      </w:r>
    </w:p>
    <w:bookmarkStart w:id="15" w:name="q3-outlook"/>
    <w:p>
      <w:pPr>
        <w:pStyle w:val="Heading3"/>
      </w:pPr>
      <w:r>
        <w:t xml:space="preserve">Q3 outlook</w:t>
      </w:r>
    </w:p>
    <w:p>
      <w:pPr>
        <w:pStyle w:val="FirstParagraph"/>
      </w:pPr>
      <w:r>
        <w:t xml:space="preserve">Management previously indicated that Q3 would face many of the same Mediterranean and geopolitical headwinds as Q2. Investors will want to know whether:</w:t>
      </w:r>
    </w:p>
    <w:p>
      <w:pPr>
        <w:pStyle w:val="Compact"/>
        <w:numPr>
          <w:ilvl w:val="0"/>
          <w:numId w:val="1005"/>
        </w:numPr>
      </w:pPr>
      <w:r>
        <w:t xml:space="preserve">Yield growth accelerates from Q2’s approximately flat level</w:t>
      </w:r>
    </w:p>
    <w:p>
      <w:pPr>
        <w:pStyle w:val="Compact"/>
        <w:numPr>
          <w:ilvl w:val="0"/>
          <w:numId w:val="1005"/>
        </w:numPr>
      </w:pPr>
      <w:r>
        <w:t xml:space="preserve">Drydock and crew-movement costs begin to normalize</w:t>
      </w:r>
    </w:p>
    <w:p>
      <w:pPr>
        <w:pStyle w:val="Compact"/>
        <w:numPr>
          <w:ilvl w:val="0"/>
          <w:numId w:val="1005"/>
        </w:numPr>
      </w:pPr>
      <w:r>
        <w:t xml:space="preserve">TUI Cruises returns to a more normal earnings contribution</w:t>
      </w:r>
    </w:p>
    <w:p>
      <w:pPr>
        <w:pStyle w:val="Compact"/>
        <w:numPr>
          <w:ilvl w:val="0"/>
          <w:numId w:val="1005"/>
        </w:numPr>
      </w:pPr>
      <w:r>
        <w:t xml:space="preserve">Higher fuel remains fully reflected in the annual outlook</w:t>
      </w:r>
    </w:p>
    <w:p>
      <w:pPr>
        <w:pStyle w:val="FirstParagraph"/>
      </w:pPr>
      <w:r>
        <w:t xml:space="preserve">A weak Q3 forecast would place more pressure on Q4 to deliver the full-year range.</w:t>
      </w:r>
    </w:p>
    <w:bookmarkEnd w:id="15"/>
    <w:bookmarkStart w:id="16" w:name="q4-confidence"/>
    <w:p>
      <w:pPr>
        <w:pStyle w:val="Heading3"/>
      </w:pPr>
      <w:r>
        <w:t xml:space="preserve">Q4 confidence</w:t>
      </w:r>
    </w:p>
    <w:p>
      <w:pPr>
        <w:pStyle w:val="FirstParagraph"/>
      </w:pPr>
      <w:r>
        <w:t xml:space="preserve">Q4 should benefit from easier comparisons, less Mediterranean exposure and additional new-product contribution. Management needs to provide a credible bridge to the implied second-half earnings acceleration rather than relying only on broad statements about strong demand.</w:t>
      </w:r>
    </w:p>
    <w:bookmarkEnd w:id="16"/>
    <w:bookmarkEnd w:id="17"/>
    <w:bookmarkStart w:id="18" w:name="Xa7292159da22135b7df28a2b385bbe0ebd3187c"/>
    <w:p>
      <w:pPr>
        <w:pStyle w:val="Heading2"/>
      </w:pPr>
      <w:r>
        <w:t xml:space="preserve">Costs: temporary noise or an emerging problem?</w:t>
      </w:r>
    </w:p>
    <w:p>
      <w:pPr>
        <w:pStyle w:val="FirstParagraph"/>
      </w:pPr>
      <w:r>
        <w:t xml:space="preserve">Q2 constant-currency costs excluding fuel were guided to rise</w:t>
      </w:r>
      <w:r>
        <w:t xml:space="preserve"> </w:t>
      </w:r>
      <w:r>
        <w:rPr>
          <w:b/>
          <w:bCs/>
        </w:rPr>
        <w:t xml:space="preserve">4.6%–5.1%</w:t>
      </w:r>
      <w:r>
        <w:t xml:space="preserve">, far above the approximately flat full-year forecast. Royal Caribbean attributed most of this to additional drydock days and elevated crew travel costs. The company estimated that geopolitical factors and comparability items would reduce Q2 EPS by almost</w:t>
      </w:r>
      <w:r>
        <w:t xml:space="preserve"> </w:t>
      </w:r>
      <w:r>
        <w:rPr>
          <w:b/>
          <w:bCs/>
        </w:rPr>
        <w:t xml:space="preserve">$1 per share</w:t>
      </w:r>
      <w:r>
        <w:t xml:space="preserve">. (</w:t>
      </w:r>
      <w:hyperlink r:id="rId11">
        <w:r>
          <w:rPr>
            <w:rStyle w:val="Hyperlink"/>
          </w:rPr>
          <w:t xml:space="preserve">rclinvestor.com</w:t>
        </w:r>
      </w:hyperlink>
      <w:r>
        <w:t xml:space="preserve">)</w:t>
      </w:r>
    </w:p>
    <w:p>
      <w:pPr>
        <w:pStyle w:val="BodyText"/>
      </w:pPr>
      <w:r>
        <w:t xml:space="preserve">The best outcome would be:</w:t>
      </w:r>
    </w:p>
    <w:p>
      <w:pPr>
        <w:pStyle w:val="Compact"/>
        <w:numPr>
          <w:ilvl w:val="0"/>
          <w:numId w:val="1006"/>
        </w:numPr>
      </w:pPr>
      <w:r>
        <w:t xml:space="preserve">Q2 costs at or below the low end of guidance</w:t>
      </w:r>
    </w:p>
    <w:p>
      <w:pPr>
        <w:pStyle w:val="Compact"/>
        <w:numPr>
          <w:ilvl w:val="0"/>
          <w:numId w:val="1006"/>
        </w:numPr>
      </w:pPr>
      <w:r>
        <w:t xml:space="preserve">Full-year ex-fuel cost guidance maintained near flat</w:t>
      </w:r>
    </w:p>
    <w:p>
      <w:pPr>
        <w:pStyle w:val="Compact"/>
        <w:numPr>
          <w:ilvl w:val="0"/>
          <w:numId w:val="1006"/>
        </w:numPr>
      </w:pPr>
      <w:r>
        <w:t xml:space="preserve">A clear reduction in unit-cost growth beginning in Q3</w:t>
      </w:r>
    </w:p>
    <w:p>
      <w:pPr>
        <w:pStyle w:val="Compact"/>
        <w:numPr>
          <w:ilvl w:val="0"/>
          <w:numId w:val="1006"/>
        </w:numPr>
      </w:pPr>
      <w:r>
        <w:t xml:space="preserve">No indication that maintenance or operating spending has merely been deferred</w:t>
      </w:r>
    </w:p>
    <w:p>
      <w:pPr>
        <w:pStyle w:val="FirstParagraph"/>
      </w:pPr>
      <w:r>
        <w:t xml:space="preserve">A Q2 cost beat caused by expenses shifting into Q3 or Q4 would have limited value.</w:t>
      </w:r>
    </w:p>
    <w:bookmarkEnd w:id="18"/>
    <w:bookmarkStart w:id="19" w:name="X4fe718acf4233a7807388f5c53537e4b8b6a505"/>
    <w:p>
      <w:pPr>
        <w:pStyle w:val="Heading2"/>
      </w:pPr>
      <w:r>
        <w:t xml:space="preserve">Fuel remains the principal uncontrollable risk</w:t>
      </w:r>
    </w:p>
    <w:p>
      <w:pPr>
        <w:pStyle w:val="FirstParagraph"/>
      </w:pPr>
      <w:r>
        <w:t xml:space="preserve">Royal Caribbean’s April outlook assumed approximately:</w:t>
      </w:r>
    </w:p>
    <w:p>
      <w:pPr>
        <w:pStyle w:val="Compact"/>
        <w:numPr>
          <w:ilvl w:val="0"/>
          <w:numId w:val="1007"/>
        </w:numPr>
      </w:pPr>
      <w:r>
        <w:rPr>
          <w:b/>
          <w:bCs/>
        </w:rPr>
        <w:t xml:space="preserve">$346 million</w:t>
      </w:r>
      <w:r>
        <w:t xml:space="preserve"> </w:t>
      </w:r>
      <w:r>
        <w:t xml:space="preserve">of Q2 fuel expense</w:t>
      </w:r>
    </w:p>
    <w:p>
      <w:pPr>
        <w:pStyle w:val="Compact"/>
        <w:numPr>
          <w:ilvl w:val="0"/>
          <w:numId w:val="1007"/>
        </w:numPr>
      </w:pPr>
      <w:r>
        <w:rPr>
          <w:b/>
          <w:bCs/>
        </w:rPr>
        <w:t xml:space="preserve">$1.35 billion</w:t>
      </w:r>
      <w:r>
        <w:t xml:space="preserve"> </w:t>
      </w:r>
      <w:r>
        <w:t xml:space="preserve">for the full year</w:t>
      </w:r>
    </w:p>
    <w:p>
      <w:pPr>
        <w:pStyle w:val="Compact"/>
        <w:numPr>
          <w:ilvl w:val="0"/>
          <w:numId w:val="1007"/>
        </w:numPr>
      </w:pPr>
      <w:r>
        <w:t xml:space="preserve">Around 60% of Q2 consumption hedged</w:t>
      </w:r>
    </w:p>
    <w:p>
      <w:pPr>
        <w:pStyle w:val="FirstParagraph"/>
      </w:pPr>
      <w:r>
        <w:t xml:space="preserve">Fuel was the largest reason management reduced its annual guidance in April. Investors should distinguish among:</w:t>
      </w:r>
    </w:p>
    <w:p>
      <w:pPr>
        <w:pStyle w:val="Compact"/>
        <w:numPr>
          <w:ilvl w:val="0"/>
          <w:numId w:val="1008"/>
        </w:numPr>
      </w:pPr>
      <w:r>
        <w:t xml:space="preserve">Changes caused by market fuel prices</w:t>
      </w:r>
    </w:p>
    <w:p>
      <w:pPr>
        <w:pStyle w:val="Compact"/>
        <w:numPr>
          <w:ilvl w:val="0"/>
          <w:numId w:val="1008"/>
        </w:numPr>
      </w:pPr>
      <w:r>
        <w:t xml:space="preserve">Real operating efficiencies, such as lower consumption per passenger-day</w:t>
      </w:r>
    </w:p>
    <w:p>
      <w:pPr>
        <w:pStyle w:val="Compact"/>
        <w:numPr>
          <w:ilvl w:val="0"/>
          <w:numId w:val="1008"/>
        </w:numPr>
      </w:pPr>
      <w:r>
        <w:t xml:space="preserve">Hedge gains or losses</w:t>
      </w:r>
    </w:p>
    <w:p>
      <w:pPr>
        <w:pStyle w:val="Compact"/>
        <w:numPr>
          <w:ilvl w:val="0"/>
          <w:numId w:val="1008"/>
        </w:numPr>
      </w:pPr>
      <w:r>
        <w:t xml:space="preserve">Any additional impact from itinerary changes</w:t>
      </w:r>
    </w:p>
    <w:p>
      <w:pPr>
        <w:pStyle w:val="FirstParagraph"/>
      </w:pPr>
      <w:r>
        <w:t xml:space="preserve">Maintaining annual EPS guidance despite another fuel increase would imply underlying operational improvement. Conversely, another guide reduction driven only by spot fuel would be less concerning than a reduction caused by weaker pricing or spending.</w:t>
      </w:r>
    </w:p>
    <w:bookmarkEnd w:id="19"/>
    <w:bookmarkStart w:id="21" w:name="X29a42406e5f4d364d18518413cb00259ff9e91b"/>
    <w:p>
      <w:pPr>
        <w:pStyle w:val="Heading2"/>
      </w:pPr>
      <w:r>
        <w:t xml:space="preserve">Legend of the Seas: more important for the outlook than Q2</w:t>
      </w:r>
    </w:p>
    <w:p>
      <w:pPr>
        <w:pStyle w:val="FirstParagraph"/>
      </w:pPr>
      <w:r>
        <w:t xml:space="preserve">Royal Caribbean officially took delivery of</w:t>
      </w:r>
      <w:r>
        <w:t xml:space="preserve"> </w:t>
      </w:r>
      <w:r>
        <w:rPr>
          <w:b/>
          <w:bCs/>
        </w:rPr>
        <w:t xml:space="preserve">Legend of the Seas</w:t>
      </w:r>
      <w:r>
        <w:t xml:space="preserve"> </w:t>
      </w:r>
      <w:r>
        <w:t xml:space="preserve">on June 10 ahead of its July European debut. Because it entered service after quarter-end, Q2 likely contains delivery and launch-related costs without meaningful corresponding revenue. Its contribution should become more visible in Q3 and especially Q4, when the ship transitions toward the Caribbean. (</w:t>
      </w:r>
      <w:hyperlink r:id="rId20">
        <w:r>
          <w:rPr>
            <w:rStyle w:val="Hyperlink"/>
          </w:rPr>
          <w:t xml:space="preserve">rclinvestor.com</w:t>
        </w:r>
      </w:hyperlink>
      <w:r>
        <w:t xml:space="preserve">)</w:t>
      </w:r>
    </w:p>
    <w:p>
      <w:pPr>
        <w:pStyle w:val="BodyText"/>
      </w:pPr>
      <w:r>
        <w:t xml:space="preserve">Investors should look for:</w:t>
      </w:r>
    </w:p>
    <w:p>
      <w:pPr>
        <w:pStyle w:val="Compact"/>
        <w:numPr>
          <w:ilvl w:val="0"/>
          <w:numId w:val="1009"/>
        </w:numPr>
      </w:pPr>
      <w:r>
        <w:t xml:space="preserve">Initial guest-satisfaction results</w:t>
      </w:r>
    </w:p>
    <w:p>
      <w:pPr>
        <w:pStyle w:val="Compact"/>
        <w:numPr>
          <w:ilvl w:val="0"/>
          <w:numId w:val="1009"/>
        </w:numPr>
      </w:pPr>
      <w:r>
        <w:t xml:space="preserve">Pricing relative to Icon and Star of the Seas</w:t>
      </w:r>
    </w:p>
    <w:p>
      <w:pPr>
        <w:pStyle w:val="Compact"/>
        <w:numPr>
          <w:ilvl w:val="0"/>
          <w:numId w:val="1009"/>
        </w:numPr>
      </w:pPr>
      <w:r>
        <w:t xml:space="preserve">Launch-cost commentary</w:t>
      </w:r>
    </w:p>
    <w:p>
      <w:pPr>
        <w:pStyle w:val="Compact"/>
        <w:numPr>
          <w:ilvl w:val="0"/>
          <w:numId w:val="1009"/>
        </w:numPr>
      </w:pPr>
      <w:r>
        <w:t xml:space="preserve">Expected Q3 and Q4 earnings contribution</w:t>
      </w:r>
    </w:p>
    <w:p>
      <w:pPr>
        <w:pStyle w:val="Compact"/>
        <w:numPr>
          <w:ilvl w:val="0"/>
          <w:numId w:val="1009"/>
        </w:numPr>
      </w:pPr>
      <w:r>
        <w:t xml:space="preserve">Confirmation that deployment and operational ramp-up remain on schedule</w:t>
      </w:r>
    </w:p>
    <w:p>
      <w:pPr>
        <w:pStyle w:val="FirstParagraph"/>
      </w:pPr>
      <w:r>
        <w:t xml:space="preserve">Strong bookings at premium rates would reinforce the superior economics of the Icon-class platform.</w:t>
      </w:r>
    </w:p>
    <w:bookmarkEnd w:id="21"/>
    <w:bookmarkStart w:id="22" w:name="balance-sheet-and-capital-allocation"/>
    <w:p>
      <w:pPr>
        <w:pStyle w:val="Heading2"/>
      </w:pPr>
      <w:r>
        <w:t xml:space="preserve">Balance sheet and capital allocation</w:t>
      </w:r>
    </w:p>
    <w:p>
      <w:pPr>
        <w:pStyle w:val="FirstParagraph"/>
      </w:pPr>
      <w:r>
        <w:t xml:space="preserve">RCL entered Q2 with investment-grade metrics, substantial liquidity and approximately</w:t>
      </w:r>
      <w:r>
        <w:t xml:space="preserve"> </w:t>
      </w:r>
      <w:r>
        <w:rPr>
          <w:b/>
          <w:bCs/>
        </w:rPr>
        <w:t xml:space="preserve">$1 billion remaining under its repurchase authorization</w:t>
      </w:r>
      <w:r>
        <w:t xml:space="preserve"> </w:t>
      </w:r>
      <w:r>
        <w:t xml:space="preserve">after buying back $836 million of stock in Q1.</w:t>
      </w:r>
    </w:p>
    <w:p>
      <w:pPr>
        <w:pStyle w:val="BodyText"/>
      </w:pPr>
      <w:r>
        <w:t xml:space="preserve">Key questions include:</w:t>
      </w:r>
    </w:p>
    <w:p>
      <w:pPr>
        <w:pStyle w:val="Compact"/>
        <w:numPr>
          <w:ilvl w:val="0"/>
          <w:numId w:val="1010"/>
        </w:numPr>
      </w:pPr>
      <w:r>
        <w:t xml:space="preserve">How much stock was repurchased during Q2?</w:t>
      </w:r>
    </w:p>
    <w:p>
      <w:pPr>
        <w:pStyle w:val="Compact"/>
        <w:numPr>
          <w:ilvl w:val="0"/>
          <w:numId w:val="1010"/>
        </w:numPr>
      </w:pPr>
      <w:r>
        <w:t xml:space="preserve">Did the company prioritize buybacks despite approximately $5 billion of planned 2026 capital expenditures?</w:t>
      </w:r>
    </w:p>
    <w:p>
      <w:pPr>
        <w:pStyle w:val="Compact"/>
        <w:numPr>
          <w:ilvl w:val="0"/>
          <w:numId w:val="1010"/>
        </w:numPr>
      </w:pPr>
      <w:r>
        <w:t xml:space="preserve">Is leverage still below 3×?</w:t>
      </w:r>
    </w:p>
    <w:p>
      <w:pPr>
        <w:pStyle w:val="Compact"/>
        <w:numPr>
          <w:ilvl w:val="0"/>
          <w:numId w:val="1010"/>
        </w:numPr>
      </w:pPr>
      <w:r>
        <w:t xml:space="preserve">Has management’s desired cash balance changed because of geopolitical or fuel volatility?</w:t>
      </w:r>
    </w:p>
    <w:p>
      <w:pPr>
        <w:pStyle w:val="Compact"/>
        <w:numPr>
          <w:ilvl w:val="0"/>
          <w:numId w:val="1010"/>
        </w:numPr>
      </w:pPr>
      <w:r>
        <w:t xml:space="preserve">Will future capital returns remain opportunistic rather than formulaic?</w:t>
      </w:r>
    </w:p>
    <w:p>
      <w:pPr>
        <w:pStyle w:val="FirstParagraph"/>
      </w:pPr>
      <w:r>
        <w:t xml:space="preserve">At approximately</w:t>
      </w:r>
      <w:r>
        <w:t xml:space="preserve"> </w:t>
      </w:r>
      <w:r>
        <w:rPr>
          <w:b/>
          <w:bCs/>
        </w:rPr>
        <w:t xml:space="preserve">$305</w:t>
      </w:r>
      <w:r>
        <w:t xml:space="preserve"> </w:t>
      </w:r>
      <w:r>
        <w:t xml:space="preserve">as of the July 27 close, RCL trades near</w:t>
      </w:r>
      <w:r>
        <w:t xml:space="preserve"> </w:t>
      </w:r>
      <w:r>
        <w:rPr>
          <w:b/>
          <w:bCs/>
        </w:rPr>
        <w:t xml:space="preserve">17.6×</w:t>
      </w:r>
      <w:r>
        <w:t xml:space="preserve"> </w:t>
      </w:r>
      <w:r>
        <w:t xml:space="preserve">the midpoint of its full-year EPS guidance. The shares also rose about 4.5% in the final session before the report, raising the near-term bar for upside.</w:t>
      </w:r>
    </w:p>
    <w:bookmarkEnd w:id="22"/>
    <w:bookmarkStart w:id="23" w:name="what-would-constitute-a-bullish-report"/>
    <w:p>
      <w:pPr>
        <w:pStyle w:val="Heading2"/>
      </w:pPr>
      <w:r>
        <w:t xml:space="preserve">What would constitute a bullish report?</w:t>
      </w:r>
    </w:p>
    <w:p>
      <w:pPr>
        <w:pStyle w:val="FirstParagraph"/>
      </w:pPr>
      <w:r>
        <w:t xml:space="preserve">A strong report would likely include most of the following:</w:t>
      </w:r>
    </w:p>
    <w:p>
      <w:pPr>
        <w:pStyle w:val="Compact"/>
        <w:numPr>
          <w:ilvl w:val="0"/>
          <w:numId w:val="1011"/>
        </w:numPr>
      </w:pPr>
      <w:r>
        <w:t xml:space="preserve">Adjusted EPS of</w:t>
      </w:r>
      <w:r>
        <w:t xml:space="preserve"> </w:t>
      </w:r>
      <w:r>
        <w:rPr>
          <w:b/>
          <w:bCs/>
        </w:rPr>
        <w:t xml:space="preserve">$4.00 or better</w:t>
      </w:r>
    </w:p>
    <w:p>
      <w:pPr>
        <w:pStyle w:val="Compact"/>
        <w:numPr>
          <w:ilvl w:val="0"/>
          <w:numId w:val="1011"/>
        </w:numPr>
      </w:pPr>
      <w:r>
        <w:t xml:space="preserve">Net yields above the approximately 0.2% constant-currency guide</w:t>
      </w:r>
    </w:p>
    <w:p>
      <w:pPr>
        <w:pStyle w:val="Compact"/>
        <w:numPr>
          <w:ilvl w:val="0"/>
          <w:numId w:val="1011"/>
        </w:numPr>
      </w:pPr>
      <w:r>
        <w:t xml:space="preserve">Costs below the 4.6%–5.1% range without shifting expenses into later quarters</w:t>
      </w:r>
    </w:p>
    <w:p>
      <w:pPr>
        <w:pStyle w:val="Compact"/>
        <w:numPr>
          <w:ilvl w:val="0"/>
          <w:numId w:val="1011"/>
        </w:numPr>
      </w:pPr>
      <w:r>
        <w:t xml:space="preserve">Continued recovery in Mediterranean bookings</w:t>
      </w:r>
    </w:p>
    <w:p>
      <w:pPr>
        <w:pStyle w:val="Compact"/>
        <w:numPr>
          <w:ilvl w:val="0"/>
          <w:numId w:val="1011"/>
        </w:numPr>
      </w:pPr>
      <w:r>
        <w:t xml:space="preserve">Strong 2027 booked pricing and volumes</w:t>
      </w:r>
    </w:p>
    <w:p>
      <w:pPr>
        <w:pStyle w:val="Compact"/>
        <w:numPr>
          <w:ilvl w:val="0"/>
          <w:numId w:val="1011"/>
        </w:numPr>
      </w:pPr>
      <w:r>
        <w:t xml:space="preserve">Onboard spending still ahead of last year</w:t>
      </w:r>
    </w:p>
    <w:p>
      <w:pPr>
        <w:pStyle w:val="Compact"/>
        <w:numPr>
          <w:ilvl w:val="0"/>
          <w:numId w:val="1011"/>
        </w:numPr>
      </w:pPr>
      <w:r>
        <w:t xml:space="preserve">Full-year EPS guidance maintained despite higher fuel, or raised above $17.50</w:t>
      </w:r>
    </w:p>
    <w:p>
      <w:pPr>
        <w:pStyle w:val="Compact"/>
        <w:numPr>
          <w:ilvl w:val="0"/>
          <w:numId w:val="1011"/>
        </w:numPr>
      </w:pPr>
      <w:r>
        <w:t xml:space="preserve">Q3 guidance supporting the required second-half earnings acceleration</w:t>
      </w:r>
    </w:p>
    <w:p>
      <w:pPr>
        <w:pStyle w:val="Compact"/>
        <w:numPr>
          <w:ilvl w:val="0"/>
          <w:numId w:val="1011"/>
        </w:numPr>
      </w:pPr>
      <w:r>
        <w:t xml:space="preserve">Positive initial commentary on Legend of the Seas</w:t>
      </w:r>
    </w:p>
    <w:bookmarkEnd w:id="23"/>
    <w:bookmarkStart w:id="24" w:name="what-would-constitute-a-bearish-report"/>
    <w:p>
      <w:pPr>
        <w:pStyle w:val="Heading2"/>
      </w:pPr>
      <w:r>
        <w:t xml:space="preserve">What would constitute a bearish report?</w:t>
      </w:r>
    </w:p>
    <w:p>
      <w:pPr>
        <w:pStyle w:val="FirstParagraph"/>
      </w:pPr>
      <w:r>
        <w:t xml:space="preserve">The principal downside risks are:</w:t>
      </w:r>
    </w:p>
    <w:p>
      <w:pPr>
        <w:pStyle w:val="Compact"/>
        <w:numPr>
          <w:ilvl w:val="0"/>
          <w:numId w:val="1012"/>
        </w:numPr>
      </w:pPr>
      <w:r>
        <w:t xml:space="preserve">EPS below the company’s</w:t>
      </w:r>
      <w:r>
        <w:t xml:space="preserve"> </w:t>
      </w:r>
      <m:oMath>
        <m:r>
          <m:t>3.83</m:t>
        </m:r>
        <m:r>
          <m:rPr>
            <m:sty m:val="p"/>
          </m:rPr>
          <m:t>–</m:t>
        </m:r>
      </m:oMath>
      <w:r>
        <w:t xml:space="preserve">3.93 range</w:t>
      </w:r>
    </w:p>
    <w:p>
      <w:pPr>
        <w:pStyle w:val="Compact"/>
        <w:numPr>
          <w:ilvl w:val="0"/>
          <w:numId w:val="1012"/>
        </w:numPr>
      </w:pPr>
      <w:r>
        <w:t xml:space="preserve">Full-year guidance reduced for reasons beyond fuel</w:t>
      </w:r>
    </w:p>
    <w:p>
      <w:pPr>
        <w:pStyle w:val="Compact"/>
        <w:numPr>
          <w:ilvl w:val="0"/>
          <w:numId w:val="1012"/>
        </w:numPr>
      </w:pPr>
      <w:r>
        <w:t xml:space="preserve">Mediterranean weakness spreading into 2027 bookings</w:t>
      </w:r>
    </w:p>
    <w:p>
      <w:pPr>
        <w:pStyle w:val="Compact"/>
        <w:numPr>
          <w:ilvl w:val="0"/>
          <w:numId w:val="1012"/>
        </w:numPr>
      </w:pPr>
      <w:r>
        <w:t xml:space="preserve">Discounting required to stimulate close-in demand</w:t>
      </w:r>
    </w:p>
    <w:p>
      <w:pPr>
        <w:pStyle w:val="Compact"/>
        <w:numPr>
          <w:ilvl w:val="0"/>
          <w:numId w:val="1012"/>
        </w:numPr>
      </w:pPr>
      <w:r>
        <w:t xml:space="preserve">Onboard spending slowing materially</w:t>
      </w:r>
    </w:p>
    <w:p>
      <w:pPr>
        <w:pStyle w:val="Compact"/>
        <w:numPr>
          <w:ilvl w:val="0"/>
          <w:numId w:val="1012"/>
        </w:numPr>
      </w:pPr>
      <w:r>
        <w:t xml:space="preserve">Cost pressure persisting after the drydock-heavy quarter</w:t>
      </w:r>
    </w:p>
    <w:p>
      <w:pPr>
        <w:pStyle w:val="Compact"/>
        <w:numPr>
          <w:ilvl w:val="0"/>
          <w:numId w:val="1012"/>
        </w:numPr>
      </w:pPr>
      <w:r>
        <w:t xml:space="preserve">Weak Q3 guidance that makes the annual EPS range dependent on an unusually strong Q4</w:t>
      </w:r>
    </w:p>
    <w:p>
      <w:pPr>
        <w:pStyle w:val="Compact"/>
        <w:numPr>
          <w:ilvl w:val="0"/>
          <w:numId w:val="1012"/>
        </w:numPr>
      </w:pPr>
      <w:r>
        <w:t xml:space="preserve">New-ship or destination delays</w:t>
      </w:r>
    </w:p>
    <w:p>
      <w:pPr>
        <w:pStyle w:val="Compact"/>
        <w:numPr>
          <w:ilvl w:val="0"/>
          <w:numId w:val="1012"/>
        </w:numPr>
      </w:pPr>
      <w:r>
        <w:t xml:space="preserve">Capital expenditures rising without a corresponding improvement in return expectations</w:t>
      </w:r>
    </w:p>
    <w:bookmarkEnd w:id="24"/>
    <w:bookmarkStart w:id="25" w:name="bottom-line"/>
    <w:p>
      <w:pPr>
        <w:pStyle w:val="Heading2"/>
      </w:pPr>
      <w:r>
        <w:t xml:space="preserve">Bottom line</w:t>
      </w:r>
    </w:p>
    <w:p>
      <w:pPr>
        <w:pStyle w:val="FirstParagraph"/>
      </w:pPr>
      <w:r>
        <w:rPr>
          <w:b/>
          <w:bCs/>
        </w:rPr>
        <w:t xml:space="preserve">The Q2 headline numbers will probably look weaker than Royal Caribbean’s underlying business.</w:t>
      </w:r>
      <w:r>
        <w:t xml:space="preserve"> </w:t>
      </w:r>
      <w:r>
        <w:t xml:space="preserve">EPS is expected to decline from last year, yields are approximately flat, and costs are elevated—but management had already identified nearly $1 per share of temporary and geopolitical headwinds.</w:t>
      </w:r>
    </w:p>
    <w:p>
      <w:pPr>
        <w:pStyle w:val="BodyText"/>
      </w:pPr>
      <w:r>
        <w:t xml:space="preserve">The decisive issue is whether the company can demonstrate that:</w:t>
      </w:r>
    </w:p>
    <w:p>
      <w:pPr>
        <w:pStyle w:val="Compact"/>
        <w:numPr>
          <w:ilvl w:val="0"/>
          <w:numId w:val="1013"/>
        </w:numPr>
      </w:pPr>
      <w:r>
        <w:t xml:space="preserve">Demand disruption was temporary,</w:t>
      </w:r>
    </w:p>
    <w:p>
      <w:pPr>
        <w:pStyle w:val="Compact"/>
        <w:numPr>
          <w:ilvl w:val="0"/>
          <w:numId w:val="1013"/>
        </w:numPr>
      </w:pPr>
      <w:r>
        <w:t xml:space="preserve">2027 bookings remain healthy,</w:t>
      </w:r>
    </w:p>
    <w:p>
      <w:pPr>
        <w:pStyle w:val="Compact"/>
        <w:numPr>
          <w:ilvl w:val="0"/>
          <w:numId w:val="1013"/>
        </w:numPr>
      </w:pPr>
      <w:r>
        <w:t xml:space="preserve">Unit costs normalize in the second half, and</w:t>
      </w:r>
    </w:p>
    <w:p>
      <w:pPr>
        <w:pStyle w:val="Compact"/>
        <w:numPr>
          <w:ilvl w:val="0"/>
          <w:numId w:val="1013"/>
        </w:numPr>
      </w:pPr>
      <w:r>
        <w:t xml:space="preserve">The</w:t>
      </w:r>
      <w:r>
        <w:t xml:space="preserve"> </w:t>
      </w:r>
      <m:oMath>
        <m:r>
          <m:t>17.10</m:t>
        </m:r>
        <m:r>
          <m:rPr>
            <m:sty m:val="p"/>
          </m:rPr>
          <m:t>–</m:t>
        </m:r>
      </m:oMath>
      <w:r>
        <w:t xml:space="preserve">17.50 annual EPS range remains achievable without heroic Q4 assumptions.</w:t>
      </w:r>
    </w:p>
    <w:p>
      <w:pPr>
        <w:pStyle w:val="FirstParagraph"/>
      </w:pPr>
      <w:r>
        <w:t xml:space="preserve">Given that consensus EPS is already above management’s Q2 range and the stock rallied into the event,</w:t>
      </w:r>
      <w:r>
        <w:t xml:space="preserve"> </w:t>
      </w:r>
      <w:r>
        <w:rPr>
          <w:b/>
          <w:bCs/>
        </w:rPr>
        <w:t xml:space="preserve">a routine beat is unlikely to be sufficient</w:t>
      </w:r>
      <w:r>
        <w:t xml:space="preserve">. The stock’s reaction should be driven primarily by Q3 guidance, the full-year outlook and management’s commentary on forward bookings—not by the Q2 EPS number alone.</w:t>
      </w:r>
    </w:p>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1" Target="https://www.rclinvestor.com/content/uploads/2026/04/RCG-1Q26-Earnings-Call-Presentation.pdf" TargetMode="External" /><Relationship Type="http://schemas.openxmlformats.org/officeDocument/2006/relationships/hyperlink" Id="rId20" Target="https://www.rclinvestor.com/press-releases/release/?id=1836" TargetMode="External" /><Relationship Type="http://schemas.openxmlformats.org/officeDocument/2006/relationships/hyperlink" Id="rId9" Target="https://www.tipranks.com/stocks/rcl/earnings" TargetMode="External" /></Relationships>
</file>

<file path=word/_rels/footnotes.xml.rels><?xml version="1.0" encoding="UTF-8"?><Relationships xmlns="http://schemas.openxmlformats.org/package/2006/relationships"><Relationship Type="http://schemas.openxmlformats.org/officeDocument/2006/relationships/hyperlink" Id="rId11" Target="https://www.rclinvestor.com/content/uploads/2026/04/RCG-1Q26-Earnings-Call-Presentation.pdf" TargetMode="External" /><Relationship Type="http://schemas.openxmlformats.org/officeDocument/2006/relationships/hyperlink" Id="rId20" Target="https://www.rclinvestor.com/press-releases/release/?id=1836" TargetMode="External" /><Relationship Type="http://schemas.openxmlformats.org/officeDocument/2006/relationships/hyperlink" Id="rId9" Target="https://www.tipranks.com/stocks/rcl/earning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2026-07-28T00:51:03Z</dcterms:created>
  <dcterms:modified xsi:type="dcterms:W3CDTF">2026-07-28T00:51:03Z</dcterms:modified>
</cp:coreProperties>
</file>

<file path=docProps/custom.xml><?xml version="1.0" encoding="utf-8"?>
<Properties xmlns="http://schemas.openxmlformats.org/officeDocument/2006/custom-properties" xmlns:vt="http://schemas.openxmlformats.org/officeDocument/2006/docPropsVTypes"/>
</file>