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bookmarkStart w:id="9" w:name="rcl-earnings-predictions--2026-07-28"/>
    <w:p>
      <w:pPr>
        <w:pStyle w:val="Heading1"/>
      </w:pPr>
      <w:r>
        <w:t xml:space="preserve">RCL Earnings Predictions — 2026-07-28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320"/>
        <w:gridCol w:w="1320"/>
        <w:gridCol w:w="1320"/>
        <w:gridCol w:w="1320"/>
        <w:gridCol w:w="1320"/>
        <w:gridCol w:w="1320"/>
      </w:tblGrid>
      <w:tr>
        <w:trPr>
          <w:tblHeader w:val="on"/>
        </w:trPr>
        <w:tc>
          <w:tcPr/>
          <w:p>
            <w:pPr>
              <w:pStyle w:val="Compact"/>
            </w:pPr>
            <w:r>
              <w:t xml:space="preserve">Ticker</w:t>
            </w:r>
          </w:p>
        </w:tc>
        <w:tc>
          <w:tcPr/>
          <w:p>
            <w:pPr>
              <w:pStyle w:val="Compact"/>
            </w:pPr>
            <w:r>
              <w:t xml:space="preserve">Report or Guide</w:t>
            </w:r>
          </w:p>
        </w:tc>
        <w:tc>
          <w:tcPr/>
          <w:p>
            <w:pPr>
              <w:pStyle w:val="Compact"/>
            </w:pPr>
            <w:r>
              <w:t xml:space="preserve">KPI</w:t>
            </w:r>
          </w:p>
        </w:tc>
        <w:tc>
          <w:tcPr/>
          <w:p>
            <w:pPr>
              <w:pStyle w:val="Compact"/>
            </w:pPr>
            <w:r>
              <w:t xml:space="preserve">Prediction</w:t>
            </w:r>
          </w:p>
        </w:tc>
        <w:tc>
          <w:tcPr/>
          <w:p>
            <w:pPr>
              <w:pStyle w:val="Compact"/>
            </w:pPr>
            <w:r>
              <w:t xml:space="preserve">Answer</w:t>
            </w:r>
          </w:p>
        </w:tc>
        <w:tc>
          <w:tcPr/>
          <w:p>
            <w:pPr>
              <w:pStyle w:val="Compact"/>
            </w:pPr>
            <w:r>
              <w:t xml:space="preserve">Confidence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Adjusted EPS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~$4.00 vs. cons $3.95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Revenue</w:t>
            </w:r>
          </w:p>
        </w:tc>
        <w:tc>
          <w:tcPr/>
          <w:p>
            <w:pPr>
              <w:pStyle w:val="Compact"/>
            </w:pPr>
            <w:r>
              <w:t xml:space="preserve">IN-LINE</w:t>
            </w:r>
          </w:p>
        </w:tc>
        <w:tc>
          <w:tcPr/>
          <w:p>
            <w:pPr>
              <w:pStyle w:val="Compact"/>
            </w:pPr>
            <w:r>
              <w:t xml:space="preserve">pred ~$4.85B vs. cons $4.82B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Report</w:t>
            </w:r>
          </w:p>
        </w:tc>
        <w:tc>
          <w:tcPr/>
          <w:p>
            <w:pPr>
              <w:pStyle w:val="Compact"/>
            </w:pPr>
            <w:r>
              <w:t xml:space="preserve">2Q26 Constant-Currency Net Yield Growth</w:t>
            </w:r>
          </w:p>
        </w:tc>
        <w:tc>
          <w:tcPr/>
          <w:p>
            <w:pPr>
              <w:pStyle w:val="Compact"/>
            </w:pPr>
            <w:r>
              <w:t xml:space="preserve">BEAT</w:t>
            </w:r>
          </w:p>
        </w:tc>
        <w:tc>
          <w:tcPr/>
          <w:p>
            <w:pPr>
              <w:pStyle w:val="Compact"/>
            </w:pPr>
            <w:r>
              <w:t xml:space="preserve">pred ~0.6% vs. cons 0.3%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~$16.85 vs. cons $17.55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FY26 Constant-Currency Net Yield Growth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~1.0% vs. cons 2.0% (FY26)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Guide</w:t>
            </w:r>
          </w:p>
        </w:tc>
        <w:tc>
          <w:tcPr/>
          <w:p>
            <w:pPr>
              <w:pStyle w:val="Compact"/>
            </w:pPr>
            <w:r>
              <w:t xml:space="preserve">3Q26 Adjusted EPS Guidance</w:t>
            </w:r>
          </w:p>
        </w:tc>
        <w:tc>
          <w:tcPr/>
          <w:p>
            <w:pPr>
              <w:pStyle w:val="Compact"/>
            </w:pPr>
            <w:r>
              <w:t xml:space="preserve">LOWER</w:t>
            </w:r>
          </w:p>
        </w:tc>
        <w:tc>
          <w:tcPr/>
          <w:p>
            <w:pPr>
              <w:pStyle w:val="Compact"/>
            </w:pPr>
            <w:r>
              <w:t xml:space="preserve">guide ~$4.45 vs. cons $4.70 (3Q26)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Day-1 residual (stock − beta × S&amp;P 500)</w:t>
            </w:r>
          </w:p>
        </w:tc>
        <w:tc>
          <w:tcPr/>
          <w:p>
            <w:pPr>
              <w:pStyle w:val="Compact"/>
            </w:pPr>
            <w:r>
              <w:t xml:space="preserve">-7.5%</w:t>
            </w:r>
          </w:p>
        </w:tc>
        <w:tc>
          <w:tcPr/>
          <w:p>
            <w:pPr>
              <w:pStyle w:val="Compact"/>
            </w:pPr>
            <w:r>
              <w:t xml:space="preserve">—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  <w:tr>
        <w:tc>
          <w:tcPr/>
          <w:p>
            <w:pPr>
              <w:pStyle w:val="Compact"/>
            </w:pPr>
            <w:r>
              <w:t xml:space="preserve">RCL</w:t>
            </w:r>
          </w:p>
        </w:tc>
        <w:tc>
          <w:tcPr/>
          <w:p>
            <w:pPr>
              <w:pStyle w:val="Compact"/>
            </w:pPr>
            <w:r>
              <w:t xml:space="preserve">Return</w:t>
            </w:r>
          </w:p>
        </w:tc>
        <w:tc>
          <w:tcPr/>
          <w:p>
            <w:pPr>
              <w:pStyle w:val="Compact"/>
            </w:pPr>
            <w:r>
              <w:t xml:space="preserve">5-day cumulative residual</w:t>
            </w:r>
          </w:p>
        </w:tc>
        <w:tc>
          <w:tcPr/>
          <w:p>
            <w:pPr>
              <w:pStyle w:val="Compact"/>
            </w:pPr>
            <w:r>
              <w:t xml:space="preserve">-10.0% (FOLLOW-THROUGH)</w:t>
            </w:r>
          </w:p>
        </w:tc>
        <w:tc>
          <w:tcPr/>
          <w:p>
            <w:pPr>
              <w:pStyle w:val="Compact"/>
            </w:pPr>
            <w:r>
              <w:t xml:space="preserve">A 2Q beat of ~$4.00 vs.</w:t>
            </w:r>
            <w:r>
              <w:t xml:space="preserve"> </w:t>
            </w:r>
            <m:oMath>
              <m:r>
                <m:t>3.95</m:t>
              </m:r>
              <m:r>
                <m:t>i</m:t>
              </m:r>
              <m:r>
                <m:t>s</m:t>
              </m:r>
              <m:r>
                <m:t>o</m:t>
              </m:r>
              <m:r>
                <m:t>u</m:t>
              </m:r>
              <m:r>
                <m:t>t</m:t>
              </m:r>
              <m:r>
                <m:t>w</m:t>
              </m:r>
              <m:r>
                <m:t>e</m:t>
              </m:r>
              <m:r>
                <m:t>i</m:t>
              </m:r>
              <m:r>
                <m:t>g</m:t>
              </m:r>
              <m:r>
                <m:t>h</m:t>
              </m:r>
              <m:r>
                <m:t>e</m:t>
              </m:r>
              <m:r>
                <m:t>d</m:t>
              </m:r>
              <m:r>
                <m:t>b</m:t>
              </m:r>
              <m:r>
                <m:t>y</m:t>
              </m:r>
              <m:r>
                <m:t>F</m:t>
              </m:r>
              <m:r>
                <m:t>Y</m:t>
              </m:r>
              <m:r>
                <m:t>26</m:t>
              </m:r>
              <m:r>
                <m:t>E</m:t>
              </m:r>
              <m:r>
                <m:t>P</m:t>
              </m:r>
              <m:r>
                <m:t>S</m:t>
              </m:r>
              <m:r>
                <m:t>g</m:t>
              </m:r>
              <m:r>
                <m:t>u</m:t>
              </m:r>
              <m:r>
                <m:t>i</m:t>
              </m:r>
              <m:r>
                <m:t>d</m:t>
              </m:r>
              <m:r>
                <m:t>a</m:t>
              </m:r>
              <m:r>
                <m:t>n</m:t>
              </m:r>
              <m:r>
                <m:t>c</m:t>
              </m:r>
              <m:r>
                <m:t>e</m:t>
              </m:r>
              <m:r>
                <m:t>o</m:t>
              </m:r>
              <m:r>
                <m:t>f</m:t>
              </m:r>
              <m:r>
                <m:t> </m:t>
              </m:r>
            </m:oMath>
            <w:r>
              <w:t xml:space="preserve">16.85 vs. $17.55 consensus and FY26 yield growth of ~1.0% vs. 2.0% consensus; out-period estimate cuts should extend the initial negative reaction.</w:t>
            </w:r>
          </w:p>
        </w:tc>
        <w:tc>
          <w:tcPr/>
          <w:p>
            <w:pPr>
              <w:pStyle w:val="Compact"/>
            </w:pPr>
            <w:r>
              <w:t xml:space="preserve">MEDIUM</w:t>
            </w:r>
          </w:p>
        </w:tc>
      </w:tr>
    </w:tbl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/>
  <cp:keywords/>
  <dcterms:created xsi:type="dcterms:W3CDTF">2026-07-28T00:49:25Z</dcterms:created>
  <dcterms:modified xsi:type="dcterms:W3CDTF">2026-07-28T00:49:25Z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