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380398c168e725f508e15cc96dcfaeb4575da74"/>
    <w:p>
      <w:pPr>
        <w:pStyle w:val="Heading1"/>
      </w:pPr>
      <w:r>
        <w:t xml:space="preserve">Royal Caribbean Group (NYSE: RCL) — 2Q26 Earnings Preview</w:t>
      </w:r>
    </w:p>
    <w:p>
      <w:pPr>
        <w:pStyle w:val="BlockText"/>
      </w:pPr>
      <w:r>
        <w:rPr>
          <w:b/>
          <w:bCs/>
        </w:rPr>
        <w:t xml:space="preserve">Date clarification:</w:t>
      </w:r>
      <w:r>
        <w:t xml:space="preserve"> </w:t>
      </w:r>
      <w:r>
        <w:t xml:space="preserve">RCL is scheduled to report</w:t>
      </w:r>
      <w:r>
        <w:t xml:space="preserve"> </w:t>
      </w:r>
      <w:r>
        <w:rPr>
          <w:b/>
          <w:bCs/>
        </w:rPr>
        <w:t xml:space="preserve">2Q26 results before the U.S. market opens on Tuesday, July 28, 2026</w:t>
      </w:r>
      <w:r>
        <w:t xml:space="preserve">—i.e.,</w:t>
      </w:r>
      <w:r>
        <w:t xml:space="preserve"> </w:t>
      </w:r>
      <w:r>
        <w:rPr>
          <w:b/>
          <w:bCs/>
        </w:rPr>
        <w:t xml:space="preserve">today</w:t>
      </w:r>
      <w:r>
        <w:t xml:space="preserve">, not tomorrow.</w:t>
      </w:r>
    </w:p>
    <w:bookmarkStart w:id="9" w:name="X1a162d76bf1a30cf4513bc68d28dd7ac8d735bd"/>
    <w:p>
      <w:pPr>
        <w:pStyle w:val="Heading2"/>
      </w:pPr>
      <w:r>
        <w:t xml:space="preserve">Investment view: the bar is modestly above management’s guide, and the debate is now about the second half</w:t>
      </w:r>
    </w:p>
    <w:p>
      <w:pPr>
        <w:pStyle w:val="FirstParagraph"/>
      </w:pPr>
      <w:r>
        <w:t xml:space="preserve">RCL enters earnings with its core demand story intact—record pricing, strong onboard spending, a differentiated Caribbean product, and a favorable long-term new-ship/destination pipeline. But the near-term setup is less straightforward than the headline demand narrative suggests.</w:t>
      </w:r>
    </w:p>
    <w:p>
      <w:pPr>
        <w:pStyle w:val="BodyText"/>
      </w:pPr>
      <w:r>
        <w:t xml:space="preserve">Management’s April outlook called for</w:t>
      </w:r>
      <w:r>
        <w:t xml:space="preserve"> </w:t>
      </w:r>
      <w:r>
        <w:rPr>
          <w:b/>
          <w:bCs/>
        </w:rPr>
        <w:t xml:space="preserve">2Q adjusted EPS of</w:t>
      </w:r>
      <w:r>
        <w:rPr>
          <w:b/>
          <w:bCs/>
        </w:rPr>
        <w:t xml:space="preserve"> </w:t>
      </w:r>
      <m:oMath>
        <m:r>
          <m:t>3.83</m:t>
        </m:r>
        <m:r>
          <m:rPr>
            <m:sty m:val="p"/>
          </m:rPr>
          <m:t>–</m:t>
        </m:r>
      </m:oMath>
      <w:r>
        <w:rPr>
          <w:b/>
          <w:bCs/>
        </w:rPr>
        <w:t xml:space="preserve">3.93</w:t>
      </w:r>
      <w:r>
        <w:t xml:space="preserve">, while the current Street expectation is</w:t>
      </w:r>
      <w:r>
        <w:t xml:space="preserve"> </w:t>
      </w:r>
      <m:oMath>
        <m:r>
          <m:t>3.95</m:t>
        </m:r>
        <m:r>
          <m:rPr>
            <m:sty m:val="p"/>
          </m:rPr>
          <m:t>*</m:t>
        </m:r>
        <m:r>
          <m:rPr>
            <m:sty m:val="p"/>
          </m:rPr>
          <m:t>*</m:t>
        </m:r>
        <m:r>
          <m:t>o</m:t>
        </m:r>
        <m:r>
          <m:t>n</m:t>
        </m:r>
        <m:r>
          <m:t>a</m:t>
        </m:r>
        <m:r>
          <m:t>p</m:t>
        </m:r>
        <m:r>
          <m:t>p</m:t>
        </m:r>
        <m:r>
          <m:t>r</m:t>
        </m:r>
        <m:r>
          <m:t>o</m:t>
        </m:r>
        <m:r>
          <m:t>x</m:t>
        </m:r>
        <m:r>
          <m:t>i</m:t>
        </m:r>
        <m:r>
          <m:t>m</m:t>
        </m:r>
        <m:r>
          <m:t>a</m:t>
        </m:r>
        <m:r>
          <m:t>t</m:t>
        </m:r>
        <m:r>
          <m:t>e</m:t>
        </m:r>
        <m:r>
          <m:t>l</m:t>
        </m:r>
        <m:r>
          <m:t>y</m:t>
        </m:r>
        <m:r>
          <m:rPr>
            <m:sty m:val="p"/>
          </m:rPr>
          <m:t>*</m:t>
        </m:r>
        <m:r>
          <m:rPr>
            <m:sty m:val="p"/>
          </m:rPr>
          <m:t>*</m:t>
        </m:r>
      </m:oMath>
      <w:r>
        <w:rPr>
          <w:b/>
          <w:bCs/>
        </w:rPr>
        <w:t xml:space="preserve">4.82 billion of revenue</w:t>
      </w:r>
      <w:r>
        <w:t xml:space="preserve">. Thus, investors appear to expect RCL to at least clear the top end of its own guide despite the company having flagged an unusually difficult quarterly comparison: Mediterranean and West Coast Mexico booking disruption, higher fuel, elevated drydock activity, crew-travel costs, and reduced TUI Cruises contribution.</w:t>
      </w:r>
    </w:p>
    <w:p>
      <w:pPr>
        <w:pStyle w:val="BodyText"/>
      </w:pPr>
      <w:r>
        <w:t xml:space="preserve">The key determinant for the stock should be less the reported EPS “beat” and more whether management can</w:t>
      </w:r>
      <w:r>
        <w:t xml:space="preserve"> </w:t>
      </w:r>
      <w:r>
        <w:rPr>
          <w:b/>
          <w:bCs/>
        </w:rPr>
        <w:t xml:space="preserve">maintain or raise its</w:t>
      </w:r>
      <w:r>
        <w:rPr>
          <w:b/>
          <w:bCs/>
        </w:rPr>
        <w:t xml:space="preserve"> </w:t>
      </w:r>
      <m:oMath>
        <m:r>
          <m:t>17.10</m:t>
        </m:r>
        <m:r>
          <m:rPr>
            <m:sty m:val="p"/>
          </m:rPr>
          <m:t>–</m:t>
        </m:r>
      </m:oMath>
      <w:r>
        <w:rPr>
          <w:b/>
          <w:bCs/>
        </w:rPr>
        <w:t xml:space="preserve">17.50 full-year adjusted-EPS outlook</w:t>
      </w:r>
      <w:r>
        <w:t xml:space="preserve">, especially given the latest escalation in Middle East-related fuel and travel uncertainty.</w:t>
      </w:r>
    </w:p>
    <w:bookmarkEnd w:id="9"/>
    <w:bookmarkStart w:id="10"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expectation / guidance</w:t>
            </w:r>
          </w:p>
        </w:tc>
        <w:tc>
          <w:tcPr/>
          <w:p>
            <w:pPr>
              <w:pStyle w:val="Compact"/>
            </w:pPr>
            <w:r>
              <w:t xml:space="preserve">Why it matters</w:t>
            </w:r>
          </w:p>
        </w:tc>
      </w:tr>
      <w:tr>
        <w:tc>
          <w:tcPr/>
          <w:p>
            <w:pPr>
              <w:pStyle w:val="Compact"/>
            </w:pPr>
            <w:r>
              <w:t xml:space="preserve">Revenue</w:t>
            </w:r>
          </w:p>
        </w:tc>
        <w:tc>
          <w:tcPr/>
          <w:p>
            <w:pPr>
              <w:pStyle w:val="Compact"/>
              <w:jc w:val="right"/>
            </w:pPr>
            <w:r>
              <w:t xml:space="preserve">Street:</w:t>
            </w:r>
            <w:r>
              <w:t xml:space="preserve"> </w:t>
            </w:r>
            <w:r>
              <w:rPr>
                <w:b/>
                <w:bCs/>
              </w:rPr>
              <w:t xml:space="preserve">~$4.82B</w:t>
            </w:r>
          </w:p>
        </w:tc>
        <w:tc>
          <w:tcPr/>
          <w:p>
            <w:pPr>
              <w:pStyle w:val="Compact"/>
            </w:pPr>
            <w:r>
              <w:t xml:space="preserve">Implies ~6.3% year-over-year growth</w:t>
            </w:r>
          </w:p>
        </w:tc>
      </w:tr>
      <w:tr>
        <w:tc>
          <w:tcPr/>
          <w:p>
            <w:pPr>
              <w:pStyle w:val="Compact"/>
            </w:pPr>
            <w:r>
              <w:t xml:space="preserve">Adjusted EPS</w:t>
            </w:r>
          </w:p>
        </w:tc>
        <w:tc>
          <w:tcPr/>
          <w:p>
            <w:pPr>
              <w:pStyle w:val="Compact"/>
              <w:jc w:val="right"/>
            </w:pPr>
            <w:r>
              <w:t xml:space="preserve">Street:</w:t>
            </w:r>
            <w:r>
              <w:t xml:space="preserve"> </w:t>
            </w:r>
            <w:r>
              <w:rPr>
                <w:b/>
                <w:bCs/>
              </w:rPr>
              <w:t xml:space="preserve">$3.95</w:t>
            </w:r>
          </w:p>
        </w:tc>
        <w:tc>
          <w:tcPr/>
          <w:p>
            <w:pPr>
              <w:pStyle w:val="Compact"/>
            </w:pPr>
            <w:r>
              <w:t xml:space="preserve">Slightly above RCL’s</w:t>
            </w:r>
            <w:r>
              <w:t xml:space="preserve"> </w:t>
            </w:r>
            <m:oMath>
              <m:r>
                <m:t>3.83</m:t>
              </m:r>
              <m:r>
                <m:rPr>
                  <m:sty m:val="p"/>
                </m:rPr>
                <m:t>–</m:t>
              </m:r>
            </m:oMath>
            <w:r>
              <w:rPr>
                <w:b/>
                <w:bCs/>
              </w:rPr>
              <w:t xml:space="preserve">3.93</w:t>
            </w:r>
            <w:r>
              <w:t xml:space="preserve"> </w:t>
            </w:r>
            <w:r>
              <w:t xml:space="preserve">guide</w:t>
            </w:r>
          </w:p>
        </w:tc>
      </w:tr>
      <w:tr>
        <w:tc>
          <w:tcPr/>
          <w:p>
            <w:pPr>
              <w:pStyle w:val="Compact"/>
            </w:pPr>
            <w:r>
              <w:t xml:space="preserve">Capacity</w:t>
            </w:r>
          </w:p>
        </w:tc>
        <w:tc>
          <w:tcPr/>
          <w:p>
            <w:pPr>
              <w:pStyle w:val="Compact"/>
              <w:jc w:val="right"/>
            </w:pPr>
            <w:r>
              <w:t xml:space="preserve">Company guide:</w:t>
            </w:r>
            <w:r>
              <w:t xml:space="preserve"> </w:t>
            </w:r>
            <w:r>
              <w:rPr>
                <w:b/>
                <w:bCs/>
              </w:rPr>
              <w:t xml:space="preserve">+4.9% YoY</w:t>
            </w:r>
          </w:p>
        </w:tc>
        <w:tc>
          <w:tcPr/>
          <w:p>
            <w:pPr>
              <w:pStyle w:val="Compact"/>
            </w:pPr>
            <w:r>
              <w:t xml:space="preserve">Growth should remain a material revenue contributor</w:t>
            </w:r>
          </w:p>
        </w:tc>
      </w:tr>
      <w:tr>
        <w:tc>
          <w:tcPr/>
          <w:p>
            <w:pPr>
              <w:pStyle w:val="Compact"/>
            </w:pPr>
            <w:r>
              <w:t xml:space="preserve">Net Yield</w:t>
            </w:r>
          </w:p>
        </w:tc>
        <w:tc>
          <w:tcPr/>
          <w:p>
            <w:pPr>
              <w:pStyle w:val="Compact"/>
              <w:jc w:val="right"/>
            </w:pPr>
            <w:r>
              <w:t xml:space="preserve">Company guide:</w:t>
            </w:r>
            <w:r>
              <w:t xml:space="preserve"> </w:t>
            </w:r>
            <w:r>
              <w:rPr>
                <w:b/>
                <w:bCs/>
              </w:rPr>
              <w:t xml:space="preserve">+0.2% YoY, constant currency</w:t>
            </w:r>
          </w:p>
        </w:tc>
        <w:tc>
          <w:tcPr/>
          <w:p>
            <w:pPr>
              <w:pStyle w:val="Compact"/>
            </w:pPr>
            <w:r>
              <w:t xml:space="preserve">The principal near-term measure of pricing and onboard performance</w:t>
            </w:r>
          </w:p>
        </w:tc>
      </w:tr>
      <w:tr>
        <w:tc>
          <w:tcPr/>
          <w:p>
            <w:pPr>
              <w:pStyle w:val="Compact"/>
            </w:pPr>
            <w:r>
              <w:t xml:space="preserve">NCC ex-fuel/APCD</w:t>
            </w:r>
          </w:p>
        </w:tc>
        <w:tc>
          <w:tcPr/>
          <w:p>
            <w:pPr>
              <w:pStyle w:val="Compact"/>
              <w:jc w:val="right"/>
            </w:pPr>
            <w:r>
              <w:t xml:space="preserve">Company guide:</w:t>
            </w:r>
            <w:r>
              <w:t xml:space="preserve"> </w:t>
            </w:r>
            <w:r>
              <w:rPr>
                <w:b/>
                <w:bCs/>
              </w:rPr>
              <w:t xml:space="preserve">+4.6% to +5.1% YoY, constant currency</w:t>
            </w:r>
          </w:p>
        </w:tc>
        <w:tc>
          <w:tcPr/>
          <w:p>
            <w:pPr>
              <w:pStyle w:val="Compact"/>
            </w:pPr>
            <w:r>
              <w:t xml:space="preserve">Cost growth is expected to be temporarily elevated</w:t>
            </w:r>
          </w:p>
        </w:tc>
      </w:tr>
      <w:tr>
        <w:tc>
          <w:tcPr/>
          <w:p>
            <w:pPr>
              <w:pStyle w:val="Compact"/>
            </w:pPr>
            <w:r>
              <w:t xml:space="preserve">FY26 adjusted EPS</w:t>
            </w:r>
          </w:p>
        </w:tc>
        <w:tc>
          <w:tcPr/>
          <w:p>
            <w:pPr>
              <w:pStyle w:val="Compact"/>
              <w:jc w:val="right"/>
            </w:pPr>
            <w:r>
              <w:t xml:space="preserve">Company guide:</w:t>
            </w:r>
            <w:r>
              <w:t xml:space="preserve"> </w:t>
            </w:r>
            <m:oMath>
              <m:r>
                <m:t>17.10</m:t>
              </m:r>
              <m:r>
                <m:rPr>
                  <m:sty m:val="p"/>
                </m:rPr>
                <m:t>–</m:t>
              </m:r>
            </m:oMath>
            <w:r>
              <w:rPr>
                <w:b/>
                <w:bCs/>
              </w:rPr>
              <w:t xml:space="preserve">17.50</w:t>
            </w:r>
          </w:p>
        </w:tc>
        <w:tc>
          <w:tcPr/>
          <w:p>
            <w:pPr>
              <w:pStyle w:val="Compact"/>
            </w:pPr>
            <w:r>
              <w:t xml:space="preserve">The central valuation and earnings-power debate</w:t>
            </w:r>
          </w:p>
        </w:tc>
      </w:tr>
    </w:tbl>
    <w:p>
      <w:pPr>
        <w:pStyle w:val="BodyText"/>
      </w:pPr>
      <w:r>
        <w:t xml:space="preserve">At</w:t>
      </w:r>
      <w:r>
        <w:t xml:space="preserve"> </w:t>
      </w:r>
      <w:r>
        <w:rPr>
          <w:b/>
          <w:bCs/>
        </w:rPr>
        <w:t xml:space="preserve">$305.08</w:t>
      </w:r>
      <w:r>
        <w:t xml:space="preserve"> </w:t>
      </w:r>
      <w:r>
        <w:t xml:space="preserve">at the July 27 close, RCL traded at roughly</w:t>
      </w:r>
      <w:r>
        <w:t xml:space="preserve"> </w:t>
      </w:r>
      <w:r>
        <w:rPr>
          <w:b/>
          <w:bCs/>
        </w:rPr>
        <w:t xml:space="preserve">17.6x</w:t>
      </w:r>
      <w:r>
        <w:t xml:space="preserve"> </w:t>
      </w:r>
      <w:r>
        <w:t xml:space="preserve">the midpoint of its FY26 adjusted-EPS guide. The shares were up about</w:t>
      </w:r>
      <w:r>
        <w:t xml:space="preserve"> </w:t>
      </w:r>
      <w:r>
        <w:rPr>
          <w:b/>
          <w:bCs/>
        </w:rPr>
        <w:t xml:space="preserve">7.7% year to date</w:t>
      </w:r>
      <w:r>
        <w:t xml:space="preserve">, though down roughly</w:t>
      </w:r>
      <w:r>
        <w:t xml:space="preserve"> </w:t>
      </w:r>
      <w:r>
        <w:rPr>
          <w:b/>
          <w:bCs/>
        </w:rPr>
        <w:t xml:space="preserve">5.1% from June 30</w:t>
      </w:r>
      <w:r>
        <w:t xml:space="preserve">, reflecting recent concern around geopolitical disruption and fuel rather than a broad break in the cruise-demand thesis.</w:t>
      </w:r>
    </w:p>
    <w:bookmarkEnd w:id="10"/>
    <w:bookmarkStart w:id="14" w:name="the-fundamental-setup"/>
    <w:p>
      <w:pPr>
        <w:pStyle w:val="Heading2"/>
      </w:pPr>
      <w:r>
        <w:t xml:space="preserve">The fundamental setup</w:t>
      </w:r>
    </w:p>
    <w:bookmarkStart w:id="11" w:name="X410c954cc4055f1af9cf3286bb54d90cf714411"/>
    <w:p>
      <w:pPr>
        <w:pStyle w:val="Heading3"/>
      </w:pPr>
      <w:r>
        <w:t xml:space="preserve">1. The starting point is strong, but 2Q was always set up as a trough quarter</w:t>
      </w:r>
    </w:p>
    <w:p>
      <w:pPr>
        <w:pStyle w:val="FirstParagraph"/>
      </w:pPr>
      <w:r>
        <w:t xml:space="preserve">RCL’s 1Q26 result materially exceeded expectations: adjusted EPS was</w:t>
      </w:r>
      <w:r>
        <w:t xml:space="preserve"> </w:t>
      </w:r>
      <w:r>
        <w:rPr>
          <w:b/>
          <w:bCs/>
        </w:rPr>
        <w:t xml:space="preserve">$3.60</w:t>
      </w:r>
      <w:r>
        <w:t xml:space="preserve">, $0.37 above the midpoint of its prior guide, as stronger revenue, lower costs, and better joint-venture performance more than offset the early impact of geopolitical events. Revenue grew 11%, constant-currency Net Yields grew 2%, and adjusted EBITDA margin expanded more than 300 basis points to 38.2%.</w:t>
      </w:r>
    </w:p>
    <w:p>
      <w:pPr>
        <w:pStyle w:val="BodyText"/>
      </w:pPr>
      <w:r>
        <w:t xml:space="preserve">However, management explicitly framed 2Q—and, to a lesser extent, 3Q—as the periods with the greatest exposure to the Mediterranean disruption. In April, RCL expected roughly</w:t>
      </w:r>
      <w:r>
        <w:t xml:space="preserve"> </w:t>
      </w:r>
      <w:r>
        <w:rPr>
          <w:b/>
          <w:bCs/>
        </w:rPr>
        <w:t xml:space="preserve">200 bps of yield pressure</w:t>
      </w:r>
      <w:r>
        <w:t xml:space="preserve"> </w:t>
      </w:r>
      <w:r>
        <w:t xml:space="preserve">in 2Q from geopolitical effects and comparable-item timing, plus almost</w:t>
      </w:r>
      <w:r>
        <w:t xml:space="preserve"> </w:t>
      </w:r>
      <w:r>
        <w:rPr>
          <w:b/>
          <w:bCs/>
        </w:rPr>
        <w:t xml:space="preserve">400 bps of NCC ex-fuel pressure</w:t>
      </w:r>
      <w:r>
        <w:t xml:space="preserve"> </w:t>
      </w:r>
      <w:r>
        <w:t xml:space="preserve">from more drydock days, crew movements, and air-travel disruption.</w:t>
      </w:r>
    </w:p>
    <w:p>
      <w:pPr>
        <w:pStyle w:val="BodyText"/>
      </w:pPr>
      <w:r>
        <w:t xml:space="preserve">That means a modest EPS beat would be constructive, but it would not by itself settle the more important question:</w:t>
      </w:r>
      <w:r>
        <w:t xml:space="preserve"> </w:t>
      </w:r>
      <w:r>
        <w:rPr>
          <w:b/>
          <w:bCs/>
        </w:rPr>
        <w:t xml:space="preserve">has the company preserved the expected second-half yield acceleration?</w:t>
      </w:r>
    </w:p>
    <w:bookmarkEnd w:id="11"/>
    <w:bookmarkStart w:id="12" w:name="X9b3efb7fc0a9b86a84cd296a6d03b9b5d7eb1b2"/>
    <w:p>
      <w:pPr>
        <w:pStyle w:val="Heading3"/>
      </w:pPr>
      <w:r>
        <w:t xml:space="preserve">2. Mediterranean bookings and airfares remain the critical swing factor</w:t>
      </w:r>
    </w:p>
    <w:p>
      <w:pPr>
        <w:pStyle w:val="FirstParagraph"/>
      </w:pPr>
      <w:r>
        <w:t xml:space="preserve">In the first-quarter call, management said Mediterranean bookings had moderated after regional geopolitical developments, driven in part by sharply higher airfare and flight disruptions. Management’s position was that bookings had already “turned the corner,” but that limited remaining inventory in 2Q and 3Q restricted the financial recovery available this year.</w:t>
      </w:r>
    </w:p>
    <w:p>
      <w:pPr>
        <w:pStyle w:val="BodyText"/>
      </w:pPr>
      <w:r>
        <w:t xml:space="preserve">Investors should focus on four data points:</w:t>
      </w:r>
    </w:p>
    <w:p>
      <w:pPr>
        <w:pStyle w:val="Compact"/>
        <w:numPr>
          <w:ilvl w:val="0"/>
          <w:numId w:val="1001"/>
        </w:numPr>
      </w:pPr>
      <w:r>
        <w:rPr>
          <w:b/>
          <w:bCs/>
        </w:rPr>
        <w:t xml:space="preserve">Current Mediterranean booking pace</w:t>
      </w:r>
      <w:r>
        <w:t xml:space="preserve"> </w:t>
      </w:r>
      <w:r>
        <w:t xml:space="preserve">versus both 2025 and the company’s April assumptions.</w:t>
      </w:r>
    </w:p>
    <w:p>
      <w:pPr>
        <w:pStyle w:val="Compact"/>
        <w:numPr>
          <w:ilvl w:val="0"/>
          <w:numId w:val="1001"/>
        </w:numPr>
      </w:pPr>
      <w:r>
        <w:rPr>
          <w:b/>
          <w:bCs/>
        </w:rPr>
        <w:t xml:space="preserve">Close-in pricing</w:t>
      </w:r>
      <w:r>
        <w:t xml:space="preserve"> </w:t>
      </w:r>
      <w:r>
        <w:t xml:space="preserve">on remaining summer inventory.</w:t>
      </w:r>
    </w:p>
    <w:p>
      <w:pPr>
        <w:pStyle w:val="Compact"/>
        <w:numPr>
          <w:ilvl w:val="0"/>
          <w:numId w:val="1001"/>
        </w:numPr>
      </w:pPr>
      <w:r>
        <w:t xml:space="preserve">Whether booking disruption has spread beyond the Mediterranean and West Coast Mexico.</w:t>
      </w:r>
    </w:p>
    <w:p>
      <w:pPr>
        <w:pStyle w:val="Compact"/>
        <w:numPr>
          <w:ilvl w:val="0"/>
          <w:numId w:val="1001"/>
        </w:numPr>
      </w:pPr>
      <w:r>
        <w:t xml:space="preserve">The extent to which recent conflict developments, fuel inflation, and travel friction affect the second-half outlook.</w:t>
      </w:r>
    </w:p>
    <w:p>
      <w:pPr>
        <w:pStyle w:val="FirstParagraph"/>
      </w:pPr>
      <w:r>
        <w:t xml:space="preserve">Carnival’s June-quarter release offered a useful, though imperfect, industry read-through: it reported record constant-currency Net Yield, high pricing, and a strong forward booked position despite describing Mediterranean booking volatility from the Middle East conflict. Carnival also said 2027 European booking volumes and pricing were ahead of the prior year. That supports the view that the issue may be primarily a</w:t>
      </w:r>
      <w:r>
        <w:t xml:space="preserve"> </w:t>
      </w:r>
      <w:r>
        <w:rPr>
          <w:b/>
          <w:bCs/>
        </w:rPr>
        <w:t xml:space="preserve">2026 mix/timing and close-in-demand headwind</w:t>
      </w:r>
      <w:r>
        <w:t xml:space="preserve">, rather than a lasting impairment to cruise demand.</w:t>
      </w:r>
    </w:p>
    <w:bookmarkEnd w:id="12"/>
    <w:bookmarkStart w:id="13" w:name="X65ede59977897a4b43d9186d70c283a7b273afa"/>
    <w:p>
      <w:pPr>
        <w:pStyle w:val="Heading3"/>
      </w:pPr>
      <w:r>
        <w:t xml:space="preserve">3. Caribbean strength and onboard spend are the offsets</w:t>
      </w:r>
    </w:p>
    <w:p>
      <w:pPr>
        <w:pStyle w:val="FirstParagraph"/>
      </w:pPr>
      <w:r>
        <w:t xml:space="preserve">RCL has a much more differentiated Caribbean position than many peers, with the region representing</w:t>
      </w:r>
      <w:r>
        <w:t xml:space="preserve"> </w:t>
      </w:r>
      <w:r>
        <w:rPr>
          <w:b/>
          <w:bCs/>
        </w:rPr>
        <w:t xml:space="preserve">57% of full-year deployment</w:t>
      </w:r>
      <w:r>
        <w:t xml:space="preserve"> </w:t>
      </w:r>
      <w:r>
        <w:t xml:space="preserve">and</w:t>
      </w:r>
      <w:r>
        <w:t xml:space="preserve"> </w:t>
      </w:r>
      <w:r>
        <w:rPr>
          <w:b/>
          <w:bCs/>
        </w:rPr>
        <w:t xml:space="preserve">50% of 2Q capacity</w:t>
      </w:r>
      <w:r>
        <w:t xml:space="preserve">. The company continues to emphasize the benefits from Icon-class ships, Perfect Day at CocoCay, Royal Beach Club Paradise Island, and its growing destination ecosystem.</w:t>
      </w:r>
    </w:p>
    <w:p>
      <w:pPr>
        <w:pStyle w:val="BodyText"/>
      </w:pPr>
      <w:r>
        <w:t xml:space="preserve">The more durable earnings drivers to watch are:</w:t>
      </w:r>
    </w:p>
    <w:p>
      <w:pPr>
        <w:pStyle w:val="Compact"/>
        <w:numPr>
          <w:ilvl w:val="0"/>
          <w:numId w:val="1002"/>
        </w:numPr>
      </w:pPr>
      <w:r>
        <w:rPr>
          <w:b/>
          <w:bCs/>
        </w:rPr>
        <w:t xml:space="preserve">Onboard revenue per passenger cruise day.</w:t>
      </w:r>
      <w:r>
        <w:t xml:space="preserve"> </w:t>
      </w:r>
      <w:r>
        <w:t xml:space="preserve">RCL indicated that onboard spending continued to exceed prior-year levels, aided by greater pre-cruise digital purchasing and more targeted guest engagement.</w:t>
      </w:r>
    </w:p>
    <w:p>
      <w:pPr>
        <w:pStyle w:val="Compact"/>
        <w:numPr>
          <w:ilvl w:val="0"/>
          <w:numId w:val="1002"/>
        </w:numPr>
      </w:pPr>
      <w:r>
        <w:rPr>
          <w:b/>
          <w:bCs/>
        </w:rPr>
        <w:t xml:space="preserve">Repeat-guest mix and loyalty.</w:t>
      </w:r>
      <w:r>
        <w:t xml:space="preserve"> </w:t>
      </w:r>
      <w:r>
        <w:t xml:space="preserve">Management said repeat guests spend approximately 25% more than new-to-cruise/first-to-brand guests, while repeat customers now represent roughly 40% of its customer base.</w:t>
      </w:r>
    </w:p>
    <w:p>
      <w:pPr>
        <w:pStyle w:val="Compact"/>
        <w:numPr>
          <w:ilvl w:val="0"/>
          <w:numId w:val="1002"/>
        </w:numPr>
      </w:pPr>
      <w:r>
        <w:rPr>
          <w:b/>
          <w:bCs/>
        </w:rPr>
        <w:t xml:space="preserve">Legend of the Seas.</w:t>
      </w:r>
      <w:r>
        <w:t xml:space="preserve"> </w:t>
      </w:r>
      <w:r>
        <w:t xml:space="preserve">Delivery was expected in 2Q, with the ship scheduled to move to the Caribbean in November. Commentary on delivery timing, initial bookings, and returns will matter for 4Q and 2027 expectations.</w:t>
      </w:r>
    </w:p>
    <w:p>
      <w:pPr>
        <w:pStyle w:val="Compact"/>
        <w:numPr>
          <w:ilvl w:val="0"/>
          <w:numId w:val="1002"/>
        </w:numPr>
      </w:pPr>
      <w:r>
        <w:rPr>
          <w:b/>
          <w:bCs/>
        </w:rPr>
        <w:t xml:space="preserve">Destination investments.</w:t>
      </w:r>
      <w:r>
        <w:t xml:space="preserve"> </w:t>
      </w:r>
      <w:r>
        <w:t xml:space="preserve">Perfect Day Mexico and Royal Beach Club Cozumel are longer-dated opportunities, with the company expecting material ramping in 2028—not near-term EPS contributors.</w:t>
      </w:r>
    </w:p>
    <w:bookmarkEnd w:id="13"/>
    <w:bookmarkEnd w:id="14"/>
    <w:bookmarkStart w:id="15" w:name="guidance-the-most-important-catalyst"/>
    <w:p>
      <w:pPr>
        <w:pStyle w:val="Heading2"/>
      </w:pPr>
      <w:r>
        <w:t xml:space="preserve">Guidance: the most important catalyst</w:t>
      </w:r>
    </w:p>
    <w:p>
      <w:pPr>
        <w:pStyle w:val="FirstParagraph"/>
      </w:pPr>
      <w:r>
        <w:t xml:space="preserve">RCL’s April full-year guide of</w:t>
      </w:r>
      <w:r>
        <w:t xml:space="preserve"> </w:t>
      </w:r>
      <m:oMath>
        <m:r>
          <m:t>17.10</m:t>
        </m:r>
        <m:r>
          <m:rPr>
            <m:sty m:val="p"/>
          </m:rPr>
          <m:t>–</m:t>
        </m:r>
      </m:oMath>
      <w:r>
        <w:rPr>
          <w:b/>
          <w:bCs/>
        </w:rPr>
        <w:t xml:space="preserve">17.50</w:t>
      </w:r>
      <w:r>
        <w:t xml:space="preserve"> </w:t>
      </w:r>
      <w:r>
        <w:t xml:space="preserve">already incorporated:</w:t>
      </w:r>
    </w:p>
    <w:p>
      <w:pPr>
        <w:pStyle w:val="Compact"/>
        <w:numPr>
          <w:ilvl w:val="0"/>
          <w:numId w:val="1003"/>
        </w:numPr>
      </w:pPr>
      <w:r>
        <w:t xml:space="preserve">Roughly</w:t>
      </w:r>
      <w:r>
        <w:t xml:space="preserve"> </w:t>
      </w:r>
      <w:r>
        <w:rPr>
          <w:b/>
          <w:bCs/>
        </w:rPr>
        <w:t xml:space="preserve">10% revenue growth</w:t>
      </w:r>
      <w:r>
        <w:t xml:space="preserve">;</w:t>
      </w:r>
    </w:p>
    <w:p>
      <w:pPr>
        <w:pStyle w:val="Compact"/>
        <w:numPr>
          <w:ilvl w:val="0"/>
          <w:numId w:val="1003"/>
        </w:numPr>
      </w:pPr>
      <w:r>
        <w:rPr>
          <w:b/>
          <w:bCs/>
        </w:rPr>
        <w:t xml:space="preserve">1.5%–2.5% constant-currency Net Yield growth</w:t>
      </w:r>
      <w:r>
        <w:t xml:space="preserve">;</w:t>
      </w:r>
    </w:p>
    <w:p>
      <w:pPr>
        <w:pStyle w:val="Compact"/>
        <w:numPr>
          <w:ilvl w:val="0"/>
          <w:numId w:val="1003"/>
        </w:numPr>
      </w:pPr>
      <w:r>
        <w:t xml:space="preserve">approximately flat constant-currency NCC ex-fuel per APCD;</w:t>
      </w:r>
    </w:p>
    <w:p>
      <w:pPr>
        <w:pStyle w:val="Compact"/>
        <w:numPr>
          <w:ilvl w:val="0"/>
          <w:numId w:val="1003"/>
        </w:numPr>
      </w:pPr>
      <w:r>
        <w:t xml:space="preserve">a</w:t>
      </w:r>
      <w:r>
        <w:t xml:space="preserve"> </w:t>
      </w:r>
      <w:r>
        <w:rPr>
          <w:b/>
          <w:bCs/>
        </w:rPr>
        <w:t xml:space="preserve">$0.62 per-share fuel headwind</w:t>
      </w:r>
      <w:r>
        <w:t xml:space="preserve"> </w:t>
      </w:r>
      <w:r>
        <w:t xml:space="preserve">based on then-current spot prices;</w:t>
      </w:r>
    </w:p>
    <w:p>
      <w:pPr>
        <w:pStyle w:val="Compact"/>
        <w:numPr>
          <w:ilvl w:val="0"/>
          <w:numId w:val="1003"/>
        </w:numPr>
      </w:pPr>
      <w:r>
        <w:t xml:space="preserve">a</w:t>
      </w:r>
      <w:r>
        <w:t xml:space="preserve"> </w:t>
      </w:r>
      <w:r>
        <w:rPr>
          <w:b/>
          <w:bCs/>
        </w:rPr>
        <w:t xml:space="preserve">$0.12 per-share drag</w:t>
      </w:r>
      <w:r>
        <w:t xml:space="preserve"> </w:t>
      </w:r>
      <w:r>
        <w:t xml:space="preserve">from lower expected TUI Cruises earnings.</w:t>
      </w:r>
    </w:p>
    <w:p>
      <w:pPr>
        <w:pStyle w:val="FirstParagraph"/>
      </w:pPr>
      <w:r>
        <w:t xml:space="preserve">The base case for a positive reaction is not merely a 2Q beat. It is:</w:t>
      </w:r>
    </w:p>
    <w:p>
      <w:pPr>
        <w:pStyle w:val="Compact"/>
        <w:numPr>
          <w:ilvl w:val="0"/>
          <w:numId w:val="1004"/>
        </w:numPr>
      </w:pPr>
      <w:r>
        <w:rPr>
          <w:b/>
          <w:bCs/>
        </w:rPr>
        <w:t xml:space="preserve">EPS above $3.95;</w:t>
      </w:r>
    </w:p>
    <w:p>
      <w:pPr>
        <w:pStyle w:val="Compact"/>
        <w:numPr>
          <w:ilvl w:val="0"/>
          <w:numId w:val="1004"/>
        </w:numPr>
      </w:pPr>
      <w:r>
        <w:t xml:space="preserve">Yield performance better than the 0.2% constant-currency guide;</w:t>
      </w:r>
    </w:p>
    <w:p>
      <w:pPr>
        <w:pStyle w:val="Compact"/>
        <w:numPr>
          <w:ilvl w:val="0"/>
          <w:numId w:val="1004"/>
        </w:numPr>
      </w:pPr>
      <w:r>
        <w:t xml:space="preserve">Confirmation that Mediterranean trends continued to normalize;</w:t>
      </w:r>
    </w:p>
    <w:p>
      <w:pPr>
        <w:pStyle w:val="Compact"/>
        <w:numPr>
          <w:ilvl w:val="0"/>
          <w:numId w:val="1004"/>
        </w:numPr>
      </w:pPr>
      <w:r>
        <w:t xml:space="preserve">Maintenance or an increase in FY26 EPS guidance despite current fuel and geopolitical conditions.</w:t>
      </w:r>
    </w:p>
    <w:p>
      <w:pPr>
        <w:pStyle w:val="FirstParagraph"/>
      </w:pPr>
      <w:r>
        <w:t xml:space="preserve">A raise would likely require management to be confident that favorable booking and onboard-revenue trends, lower underlying costs, and buyback-driven share-count benefits can outweigh summer itinerary disruption and fuel.</w:t>
      </w:r>
    </w:p>
    <w:bookmarkEnd w:id="15"/>
    <w:bookmarkStart w:id="16" w:name="risks-into-the-print"/>
    <w:p>
      <w:pPr>
        <w:pStyle w:val="Heading2"/>
      </w:pPr>
      <w:r>
        <w:t xml:space="preserve">Risks into the print</w:t>
      </w:r>
    </w:p>
    <w:p>
      <w:pPr>
        <w:pStyle w:val="Compact"/>
        <w:numPr>
          <w:ilvl w:val="0"/>
          <w:numId w:val="1005"/>
        </w:numPr>
      </w:pPr>
      <w:r>
        <w:rPr>
          <w:b/>
          <w:bCs/>
        </w:rPr>
        <w:t xml:space="preserve">Fuel volatility.</w:t>
      </w:r>
      <w:r>
        <w:t xml:space="preserve"> </w:t>
      </w:r>
      <w:r>
        <w:t xml:space="preserve">RCL forecast 2Q fuel expense of $346 million in April and was 60% hedged for the quarter. The company’s broader 2026 hedge book provides partial protection, but not full insulation, from higher spot prices.</w:t>
      </w:r>
    </w:p>
    <w:p>
      <w:pPr>
        <w:pStyle w:val="Compact"/>
        <w:numPr>
          <w:ilvl w:val="0"/>
          <w:numId w:val="1005"/>
        </w:numPr>
      </w:pPr>
      <w:r>
        <w:rPr>
          <w:b/>
          <w:bCs/>
        </w:rPr>
        <w:t xml:space="preserve">Further geopolitical escalation.</w:t>
      </w:r>
      <w:r>
        <w:t xml:space="preserve"> </w:t>
      </w:r>
      <w:r>
        <w:t xml:space="preserve">Events affecting the Middle East, air routes, cruise itineraries, or the Strait of Hormuz could pressure both fuel and traveler confidence. Recent developments have kept this risk elevated.</w:t>
      </w:r>
    </w:p>
    <w:p>
      <w:pPr>
        <w:pStyle w:val="Compact"/>
        <w:numPr>
          <w:ilvl w:val="0"/>
          <w:numId w:val="1005"/>
        </w:numPr>
      </w:pPr>
      <w:r>
        <w:rPr>
          <w:b/>
          <w:bCs/>
        </w:rPr>
        <w:t xml:space="preserve">Cost execution.</w:t>
      </w:r>
      <w:r>
        <w:t xml:space="preserve"> </w:t>
      </w:r>
      <w:r>
        <w:t xml:space="preserve">The quarter contains unusually high drydock and crew-travel expense. Investors will want evidence that these costs are timing-related rather than a new run-rate.</w:t>
      </w:r>
    </w:p>
    <w:p>
      <w:pPr>
        <w:pStyle w:val="Compact"/>
        <w:numPr>
          <w:ilvl w:val="0"/>
          <w:numId w:val="1005"/>
        </w:numPr>
      </w:pPr>
      <w:r>
        <w:rPr>
          <w:b/>
          <w:bCs/>
        </w:rPr>
        <w:t xml:space="preserve">High expectations for a premium operator.</w:t>
      </w:r>
      <w:r>
        <w:t xml:space="preserve"> </w:t>
      </w:r>
      <w:r>
        <w:t xml:space="preserve">RCL has materially outperformed the cruise group operationally, but that also means the market may penalize a guide that merely holds rather than improves.</w:t>
      </w:r>
    </w:p>
    <w:p>
      <w:pPr>
        <w:pStyle w:val="Compact"/>
        <w:numPr>
          <w:ilvl w:val="0"/>
          <w:numId w:val="1005"/>
        </w:numPr>
      </w:pPr>
      <w:r>
        <w:rPr>
          <w:b/>
          <w:bCs/>
        </w:rPr>
        <w:t xml:space="preserve">Capital intensity.</w:t>
      </w:r>
      <w:r>
        <w:t xml:space="preserve"> </w:t>
      </w:r>
      <w:r>
        <w:t xml:space="preserve">RCL expects roughly</w:t>
      </w:r>
      <w:r>
        <w:t xml:space="preserve"> </w:t>
      </w:r>
      <w:r>
        <w:rPr>
          <w:b/>
          <w:bCs/>
        </w:rPr>
        <w:t xml:space="preserve">$5 billion of 2026 capex</w:t>
      </w:r>
      <w:r>
        <w:t xml:space="preserve">, largely for new ships and destination development. The investments support its strategic moat, but they keep capital allocation and leverage discipline in focus.</w:t>
      </w:r>
    </w:p>
    <w:bookmarkEnd w:id="16"/>
    <w:bookmarkStart w:id="17" w:name="what-to-listen-for-on-the-call"/>
    <w:p>
      <w:pPr>
        <w:pStyle w:val="Heading2"/>
      </w:pPr>
      <w:r>
        <w:t xml:space="preserve">What to listen for on the call</w:t>
      </w:r>
    </w:p>
    <w:p>
      <w:pPr>
        <w:pStyle w:val="Compact"/>
        <w:numPr>
          <w:ilvl w:val="0"/>
          <w:numId w:val="1006"/>
        </w:numPr>
      </w:pPr>
      <w:r>
        <w:rPr>
          <w:b/>
          <w:bCs/>
        </w:rPr>
        <w:t xml:space="preserve">Is 2Q Net Yield positive in constant currency, and by how much versus the +0.2% guide?</w:t>
      </w:r>
    </w:p>
    <w:p>
      <w:pPr>
        <w:pStyle w:val="Compact"/>
        <w:numPr>
          <w:ilvl w:val="0"/>
          <w:numId w:val="1006"/>
        </w:numPr>
      </w:pPr>
      <w:r>
        <w:rPr>
          <w:b/>
          <w:bCs/>
        </w:rPr>
        <w:t xml:space="preserve">What is the implied 3Q Net Yield outlook?</w:t>
      </w:r>
      <w:r>
        <w:t xml:space="preserve"> </w:t>
      </w:r>
      <w:r>
        <w:t xml:space="preserve">April commentary suggested a similar geopolitical headwind in 3Q.</w:t>
      </w:r>
    </w:p>
    <w:p>
      <w:pPr>
        <w:pStyle w:val="Compact"/>
        <w:numPr>
          <w:ilvl w:val="0"/>
          <w:numId w:val="1006"/>
        </w:numPr>
      </w:pPr>
      <w:r>
        <w:rPr>
          <w:b/>
          <w:bCs/>
        </w:rPr>
        <w:t xml:space="preserve">Does management still see a “smiley-face” 2026 yield cadence, with stronger 4Q growth?</w:t>
      </w:r>
    </w:p>
    <w:p>
      <w:pPr>
        <w:pStyle w:val="Compact"/>
        <w:numPr>
          <w:ilvl w:val="0"/>
          <w:numId w:val="1006"/>
        </w:numPr>
      </w:pPr>
      <w:r>
        <w:rPr>
          <w:b/>
          <w:bCs/>
        </w:rPr>
        <w:t xml:space="preserve">How has Mediterranean demand trended since April—and specifically during July?</w:t>
      </w:r>
    </w:p>
    <w:p>
      <w:pPr>
        <w:pStyle w:val="Compact"/>
        <w:numPr>
          <w:ilvl w:val="0"/>
          <w:numId w:val="1006"/>
        </w:numPr>
      </w:pPr>
      <w:r>
        <w:rPr>
          <w:b/>
          <w:bCs/>
        </w:rPr>
        <w:t xml:space="preserve">Are 2027 bookings and pricing still ahead of 2026 at the comparable point?</w:t>
      </w:r>
    </w:p>
    <w:p>
      <w:pPr>
        <w:pStyle w:val="Compact"/>
        <w:numPr>
          <w:ilvl w:val="0"/>
          <w:numId w:val="1006"/>
        </w:numPr>
      </w:pPr>
      <w:r>
        <w:rPr>
          <w:b/>
          <w:bCs/>
        </w:rPr>
        <w:t xml:space="preserve">What has changed in RCL’s fuel-cost assumption, hedge position, and TUI Cruises outlook?</w:t>
      </w:r>
    </w:p>
    <w:p>
      <w:pPr>
        <w:pStyle w:val="Compact"/>
        <w:numPr>
          <w:ilvl w:val="0"/>
          <w:numId w:val="1006"/>
        </w:numPr>
      </w:pPr>
      <w:r>
        <w:rPr>
          <w:b/>
          <w:bCs/>
        </w:rPr>
        <w:t xml:space="preserve">Has Legend of the Seas been delivered on time and at expected economics?</w:t>
      </w:r>
    </w:p>
    <w:p>
      <w:pPr>
        <w:pStyle w:val="Compact"/>
        <w:numPr>
          <w:ilvl w:val="0"/>
          <w:numId w:val="1006"/>
        </w:numPr>
      </w:pPr>
      <w:r>
        <w:rPr>
          <w:b/>
          <w:bCs/>
        </w:rPr>
        <w:t xml:space="preserve">Will the company resume a meaningful pace of repurchases?</w:t>
      </w:r>
      <w:r>
        <w:t xml:space="preserve"> </w:t>
      </w:r>
      <w:r>
        <w:t xml:space="preserve">RCL had $1.0 billion remaining under its authorization after repurchasing $836 million in 1Q.</w:t>
      </w:r>
    </w:p>
    <w:bookmarkEnd w:id="17"/>
    <w:bookmarkStart w:id="18" w:name="bottom-line"/>
    <w:p>
      <w:pPr>
        <w:pStyle w:val="Heading2"/>
      </w:pPr>
      <w:r>
        <w:t xml:space="preserve">Bottom line</w:t>
      </w:r>
    </w:p>
    <w:p>
      <w:pPr>
        <w:pStyle w:val="FirstParagraph"/>
      </w:pPr>
      <w:r>
        <w:t xml:space="preserve">RCL’s 2Q report is likely to be judged as a</w:t>
      </w:r>
      <w:r>
        <w:t xml:space="preserve"> </w:t>
      </w:r>
      <w:r>
        <w:rPr>
          <w:b/>
          <w:bCs/>
        </w:rPr>
        <w:t xml:space="preserve">second-half confidence test</w:t>
      </w:r>
      <w:r>
        <w:t xml:space="preserve">, rather than simply a review of spring-quarter execution. The company’s underlying demand, onboard monetization, Caribbean positioning, and long-term growth pipeline appear solid. The near-term issue is whether volatile geopolitical conditions and fuel prices have created a temporary earnings timing problem—or forced a more material reset to summer and full-year expectations.</w:t>
      </w:r>
    </w:p>
    <w:p>
      <w:pPr>
        <w:pStyle w:val="BodyText"/>
      </w:pPr>
      <w:r>
        <w:rPr>
          <w:b/>
          <w:bCs/>
        </w:rPr>
        <w:t xml:space="preserve">Bullish outcome:</w:t>
      </w:r>
      <w:r>
        <w:t xml:space="preserve"> </w:t>
      </w:r>
      <w:r>
        <w:t xml:space="preserve">a clear beat to the $3.95 consensus, better-than-guided yield, stable-to-improving Mediterranean commentary, and maintained or raised FY26 EPS guidance.</w:t>
      </w:r>
    </w:p>
    <w:p>
      <w:pPr>
        <w:pStyle w:val="BodyText"/>
      </w:pPr>
      <w:r>
        <w:rPr>
          <w:b/>
          <w:bCs/>
        </w:rPr>
        <w:t xml:space="preserve">Bearish outcome:</w:t>
      </w:r>
      <w:r>
        <w:t xml:space="preserve"> </w:t>
      </w:r>
      <w:r>
        <w:t xml:space="preserve">EPS meets guidance but misses the Street, Net Yields disappoint, fuel/geopolitical assumptions worsen, or management lowers the full-year range.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2026-07-28T00:49:25Z</dcterms:created>
  <dcterms:modified xsi:type="dcterms:W3CDTF">2026-07-28T00:49:25Z</dcterms:modified>
</cp:coreProperties>
</file>

<file path=docProps/custom.xml><?xml version="1.0" encoding="utf-8"?>
<Properties xmlns="http://schemas.openxmlformats.org/officeDocument/2006/custom-properties" xmlns:vt="http://schemas.openxmlformats.org/officeDocument/2006/docPropsVTypes"/>
</file>