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Royal Caribbean Group (RCL)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Royal Caribbean Group</w:t>
            </w:r>
          </w:p>
        </w:tc>
      </w:tr>
      <w:tr>
        <w:tc>
          <w:tcPr>
            <w:tcW w:type="dxa" w:w="4320"/>
          </w:tcPr>
          <w:p>
            <w:r>
              <w:rPr>
                <w:rFonts w:ascii="Calibri" w:hAnsi="Calibri"/>
                <w:b/>
                <w:sz w:val="22"/>
              </w:rPr>
              <w:t>Ticker</w:t>
            </w:r>
          </w:p>
        </w:tc>
        <w:tc>
          <w:tcPr>
            <w:tcW w:type="dxa" w:w="4320"/>
          </w:tcPr>
          <w:p>
            <w:r>
              <w:rPr>
                <w:rFonts w:ascii="Calibri" w:hAnsi="Calibri"/>
                <w:sz w:val="22"/>
              </w:rPr>
              <w:t>NYSE: RCL</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a modest beat — consensus at ~$3.98 sits above the $3.83–$3.93 guidance midpoint, but the bar is not stretched; the biggest swing factor is whether geopolitical headwinds to Mediterranean yields proved shallower than feared, which Carnival's June quarter already suggested.</w:t>
      </w:r>
    </w:p>
    <w:p>
      <w:r>
        <w:rPr>
          <w:rFonts w:ascii="Calibri" w:hAnsi="Calibri"/>
          <w:color w:val="525866"/>
          <w:sz w:val="22"/>
        </w:rPr>
        <w:t xml:space="preserve">Heading into Q2 2026, the setup for RCL is cautiously constructive. Management guided for adjusted EPS of $3.83–$3.93 and net yield growth of just +0.2% in constant currency — a deliberately conservative bar that embeds nearly 200 bps of headwinds from dry-dock timing and geopolitical disruption to Mediterranean and West Coast Mexico itineraries. Consensus at ~$3.98 sits modestly above the guidance midpoint, implying the Street is already pricing in a small beat, consistent with RCL's track record of under-promising. </w:t>
      </w:r>
      <w:r>
        <w:rPr>
          <w:rFonts w:ascii="Calibri" w:hAnsi="Calibri"/>
          <w:b/>
          <w:color w:val="525866"/>
          <w:sz w:val="22"/>
        </w:rPr>
        <w:t>Estimate revisions have been broadly stable since the April 30 print</w:t>
      </w:r>
      <w:r>
        <w:rPr>
          <w:rFonts w:ascii="Calibri" w:hAnsi="Calibri"/>
          <w:color w:val="525866"/>
          <w:sz w:val="22"/>
        </w:rPr>
        <w:t xml:space="preserve"> — the Q2 EPS consensus moved from $3.94 to $3.98, a negligible drift — suggesting the market has largely digested the guidance reset and is not pricing in incremental upside. The stock has recovered ~16% from the April 30 close of $263.76 to ~$305 today, but still trades well below its 2025 highs, implying the multiple has not re-rated to reflect the underlying demand strength. </w:t>
      </w:r>
      <w:r>
        <w:rPr>
          <w:rFonts w:ascii="Calibri" w:hAnsi="Calibri"/>
          <w:b/>
          <w:color w:val="525866"/>
          <w:sz w:val="22"/>
        </w:rPr>
        <w:t>The key wildcard is Mediterranean yield recovery</w:t>
      </w:r>
      <w:r>
        <w:rPr>
          <w:rFonts w:ascii="Calibri" w:hAnsi="Calibri"/>
          <w:color w:val="525866"/>
          <w:sz w:val="22"/>
        </w:rPr>
        <w:t>: management declared 'we have turned the corner' on April 30, and Carnival's June quarter confirmed resilient close-in demand and record yields despite the same geopolitical backdrop — a strong read-through that Q2 yields may surprise to the upside. Full-year guidance of $17.10–$17.50 EPS is the more important number to watch; any raise — even a modest one — driven by better-than-feared yields or fuel tailwinds from the forward curve would be the catalyst for the next leg higher.</w:t>
      </w:r>
    </w:p>
    <w:p>
      <w:r>
        <w:rPr>
          <w:rFonts w:ascii="Calibri" w:hAnsi="Calibri"/>
          <w:b/>
          <w:color w:val="525866"/>
          <w:sz w:val="22"/>
        </w:rPr>
        <w:t xml:space="preserve">Bar: </w:t>
      </w:r>
      <w:r>
        <w:rPr>
          <w:rFonts w:ascii="Calibri" w:hAnsi="Calibri"/>
          <w:color w:val="525866"/>
          <w:sz w:val="22"/>
        </w:rPr>
        <w:t>Consensus net yield growth of ~+0.6% in constant currency sits modestly above the +0.2% guidance midpoint, a low bar that reflects management's conservative framing of geopolitical headwinds. EPS consensus of ~$3.98 is above the $3.88 guidance midpoint by ~$0.10, consistent with RCL's historical pattern of guiding conservatively.</w:t>
      </w:r>
    </w:p>
    <w:p>
      <w:r>
        <w:rPr>
          <w:rFonts w:ascii="Calibri" w:hAnsi="Calibri"/>
          <w:b/>
          <w:color w:val="525866"/>
          <w:sz w:val="22"/>
        </w:rPr>
        <w:t xml:space="preserve">Guidance/Tone: </w:t>
      </w:r>
      <w:r>
        <w:rPr>
          <w:rFonts w:ascii="Calibri" w:hAnsi="Calibri"/>
          <w:color w:val="525866"/>
          <w:sz w:val="22"/>
        </w:rPr>
        <w:t>Management's posture on April 30 was confident on underlying demand but explicitly cautious on near-term yields, citing Mediterranean and West Coast Mexico disruption as temporary and external. The 'smiley face' yield cadence (Q2/Q3 trough, Q4 recovery) was clearly telegraphed. No post-earnings guidance revision has been issued, so the April 30 framework remains the baseline.</w:t>
      </w:r>
    </w:p>
    <w:p>
      <w:r>
        <w:rPr>
          <w:rFonts w:ascii="Calibri" w:hAnsi="Calibri"/>
          <w:b/>
          <w:color w:val="525866"/>
          <w:sz w:val="22"/>
        </w:rPr>
        <w:t xml:space="preserve">Estimate Trajectory: </w:t>
      </w:r>
      <w:r>
        <w:rPr>
          <w:rFonts w:ascii="Calibri" w:hAnsi="Calibri"/>
          <w:color w:val="525866"/>
          <w:sz w:val="22"/>
        </w:rPr>
        <w:t>Q2 EPS estimates have been essentially flat since the April 30 print ($3.94 → $3.98), while full-year 2026 EPS consensus of ~$17.35 sits near the midpoint of guidance. The stability signals the Street is comfortable with the guidance framework and not pricing in incremental risk or upside — a neutral setup.</w:t>
      </w:r>
    </w:p>
    <w:p>
      <w:r>
        <w:rPr>
          <w:rFonts w:ascii="Calibri" w:hAnsi="Calibri"/>
          <w:b/>
          <w:color w:val="525866"/>
          <w:sz w:val="22"/>
        </w:rPr>
        <w:t xml:space="preserve">Stock Setup: </w:t>
      </w:r>
      <w:r>
        <w:rPr>
          <w:rFonts w:ascii="Calibri" w:hAnsi="Calibri"/>
          <w:color w:val="525866"/>
          <w:sz w:val="22"/>
        </w:rPr>
        <w:t>RCL trades at ~17–18x forward 2026 EPS, below the mid-to-high 20s fair value implied by its growth and ROIC profile. The stock has recovered from its post-Q1 lows but remains well off 2025 highs, suggesting the market is pricing in execution risk rather than the underlying demand strength. The multiple does not appear stretched heading into the print.</w:t>
      </w:r>
    </w:p>
    <w:p>
      <w:r>
        <w:rPr>
          <w:rFonts w:ascii="Calibri" w:hAnsi="Calibri"/>
          <w:b/>
          <w:color w:val="525866"/>
          <w:sz w:val="22"/>
        </w:rPr>
        <w:t xml:space="preserve">Wildcard: </w:t>
      </w:r>
      <w:r>
        <w:rPr>
          <w:rFonts w:ascii="Calibri" w:hAnsi="Calibri"/>
          <w:color w:val="525866"/>
          <w:sz w:val="22"/>
        </w:rPr>
        <w:t>Mediterranean yield recovery pace. If close-in bookings for Q2/Q3 Mediterranean sailings came in better than the conservative guidance implied — as Carnival's June quarter suggested for the broader industry — RCL could beat on net yields and raise full-year guidance, the single most important catalyst for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net yields (+0.6% CC vs. +0.2% guidance) and a modest beat bar on EPS ($3.98 vs. $3.88 midpoint); net yield growth is the bigger swing factor given the geopolitical headwind embedded in guidance that may prove shallower than feared.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(Diluted)</w:t>
            </w:r>
          </w:p>
        </w:tc>
        <w:tc>
          <w:tcPr>
            <w:tcW w:type="dxa" w:w="1234"/>
          </w:tcPr>
          <w:p>
            <w:r>
              <w:rPr>
                <w:rFonts w:ascii="Calibri" w:hAnsi="Calibri"/>
                <w:sz w:val="22"/>
              </w:rPr>
              <w:t>$3.60</w:t>
            </w:r>
          </w:p>
        </w:tc>
        <w:tc>
          <w:tcPr>
            <w:tcW w:type="dxa" w:w="1234"/>
          </w:tcPr>
          <w:p>
            <w:r>
              <w:rPr>
                <w:rFonts w:ascii="Calibri" w:hAnsi="Calibri"/>
                <w:sz w:val="22"/>
              </w:rPr>
              <w:t>$4.38</w:t>
            </w:r>
          </w:p>
        </w:tc>
        <w:tc>
          <w:tcPr>
            <w:tcW w:type="dxa" w:w="1234"/>
          </w:tcPr>
          <w:p>
            <w:r>
              <w:rPr>
                <w:rFonts w:ascii="Calibri" w:hAnsi="Calibri"/>
                <w:sz w:val="22"/>
              </w:rPr>
              <w:t>$3.98</w:t>
            </w:r>
          </w:p>
        </w:tc>
        <w:tc>
          <w:tcPr>
            <w:tcW w:type="dxa" w:w="1234"/>
          </w:tcPr>
          <w:p>
            <w:r>
              <w:rPr>
                <w:rFonts w:ascii="Calibri" w:hAnsi="Calibri"/>
                <w:sz w:val="22"/>
              </w:rPr>
              <w:t>-9.1% YoY</w:t>
            </w:r>
          </w:p>
        </w:tc>
        <w:tc>
          <w:tcPr>
            <w:tcW w:type="dxa" w:w="1234"/>
          </w:tcPr>
          <w:p>
            <w:r>
              <w:rPr>
                <w:rFonts w:ascii="Calibri" w:hAnsi="Calibri"/>
                <w:sz w:val="22"/>
              </w:rPr>
              <w:t>$3.83–$3.93</w:t>
            </w:r>
          </w:p>
        </w:tc>
        <w:tc>
          <w:tcPr>
            <w:tcW w:type="dxa" w:w="1234"/>
          </w:tcPr>
          <w:p>
            <w:r>
              <w:rPr>
                <w:rFonts w:ascii="Calibri" w:hAnsi="Calibri"/>
                <w:sz w:val="22"/>
              </w:rPr>
              <w:t>+$0.10 / +2.6% above midpoint</w:t>
            </w:r>
          </w:p>
        </w:tc>
      </w:tr>
      <w:tr>
        <w:tc>
          <w:tcPr>
            <w:tcW w:type="dxa" w:w="1234"/>
          </w:tcPr>
          <w:p>
            <w:r>
              <w:rPr>
                <w:rFonts w:ascii="Calibri" w:hAnsi="Calibri"/>
                <w:sz w:val="22"/>
              </w:rPr>
              <w:t>Net Yields ($/APCD)</w:t>
            </w:r>
          </w:p>
        </w:tc>
        <w:tc>
          <w:tcPr>
            <w:tcW w:type="dxa" w:w="1234"/>
          </w:tcPr>
          <w:p>
            <w:r>
              <w:rPr>
                <w:rFonts w:ascii="Calibri" w:hAnsi="Calibri"/>
                <w:sz w:val="22"/>
              </w:rPr>
              <w:t>$268.27</w:t>
            </w:r>
          </w:p>
        </w:tc>
        <w:tc>
          <w:tcPr>
            <w:tcW w:type="dxa" w:w="1234"/>
          </w:tcPr>
          <w:p>
            <w:r>
              <w:rPr>
                <w:rFonts w:ascii="Calibri" w:hAnsi="Calibri"/>
                <w:sz w:val="22"/>
              </w:rPr>
              <w:t>$283.56</w:t>
            </w:r>
          </w:p>
        </w:tc>
        <w:tc>
          <w:tcPr>
            <w:tcW w:type="dxa" w:w="1234"/>
          </w:tcPr>
          <w:p>
            <w:r>
              <w:rPr>
                <w:rFonts w:ascii="Calibri" w:hAnsi="Calibri"/>
                <w:sz w:val="22"/>
              </w:rPr>
              <w:t>$286.64</w:t>
            </w:r>
          </w:p>
        </w:tc>
        <w:tc>
          <w:tcPr>
            <w:tcW w:type="dxa" w:w="1234"/>
          </w:tcPr>
          <w:p>
            <w:r>
              <w:rPr>
                <w:rFonts w:ascii="Calibri" w:hAnsi="Calibri"/>
                <w:sz w:val="22"/>
              </w:rPr>
              <w:t>+1.1% YoY</w:t>
            </w:r>
          </w:p>
        </w:tc>
        <w:tc>
          <w:tcPr>
            <w:tcW w:type="dxa" w:w="1234"/>
          </w:tcPr>
          <w:p>
            <w:r>
              <w:rPr>
                <w:rFonts w:ascii="Calibri" w:hAnsi="Calibri"/>
                <w:sz w:val="22"/>
              </w:rPr>
              <w:t>~+0.2% CC growth</w:t>
            </w:r>
          </w:p>
        </w:tc>
        <w:tc>
          <w:tcPr>
            <w:tcW w:type="dxa" w:w="1234"/>
          </w:tcPr>
          <w:p>
            <w:r>
              <w:rPr>
                <w:rFonts w:ascii="Calibri" w:hAnsi="Calibri"/>
                <w:sz w:val="22"/>
              </w:rPr>
              <w:t>Consensus ~+0.4pp above guidance</w:t>
            </w:r>
          </w:p>
        </w:tc>
      </w:tr>
      <w:tr>
        <w:tc>
          <w:tcPr>
            <w:tcW w:type="dxa" w:w="1234"/>
          </w:tcPr>
          <w:p>
            <w:r>
              <w:rPr>
                <w:rFonts w:ascii="Calibri" w:hAnsi="Calibri"/>
                <w:sz w:val="22"/>
              </w:rPr>
              <w:t>Net Yield CC Growth (%)</w:t>
            </w:r>
          </w:p>
        </w:tc>
        <w:tc>
          <w:tcPr>
            <w:tcW w:type="dxa" w:w="1234"/>
          </w:tcPr>
          <w:p>
            <w:r>
              <w:rPr>
                <w:rFonts w:ascii="Calibri" w:hAnsi="Calibri"/>
                <w:sz w:val="22"/>
              </w:rPr>
              <w:t>+2.0% CC</w:t>
            </w:r>
          </w:p>
        </w:tc>
        <w:tc>
          <w:tcPr>
            <w:tcW w:type="dxa" w:w="1234"/>
          </w:tcPr>
          <w:p>
            <w:r>
              <w:rPr>
                <w:rFonts w:ascii="Calibri" w:hAnsi="Calibri"/>
                <w:sz w:val="22"/>
              </w:rPr>
              <w:t>+5.2% CC</w:t>
            </w:r>
          </w:p>
        </w:tc>
        <w:tc>
          <w:tcPr>
            <w:tcW w:type="dxa" w:w="1234"/>
          </w:tcPr>
          <w:p>
            <w:r>
              <w:rPr>
                <w:rFonts w:ascii="Calibri" w:hAnsi="Calibri"/>
                <w:sz w:val="22"/>
              </w:rPr>
              <w:t>+0.58% CC</w:t>
            </w:r>
          </w:p>
        </w:tc>
        <w:tc>
          <w:tcPr>
            <w:tcW w:type="dxa" w:w="1234"/>
          </w:tcPr>
          <w:p>
            <w:r>
              <w:rPr>
                <w:rFonts w:ascii="Calibri" w:hAnsi="Calibri"/>
                <w:sz w:val="22"/>
              </w:rPr>
              <w:t>Decelerating (geo headwinds)</w:t>
            </w:r>
          </w:p>
        </w:tc>
        <w:tc>
          <w:tcPr>
            <w:tcW w:type="dxa" w:w="1234"/>
          </w:tcPr>
          <w:p>
            <w:r>
              <w:rPr>
                <w:rFonts w:ascii="Calibri" w:hAnsi="Calibri"/>
                <w:sz w:val="22"/>
              </w:rPr>
              <w:t>+0.2% CC</w:t>
            </w:r>
          </w:p>
        </w:tc>
        <w:tc>
          <w:tcPr>
            <w:tcW w:type="dxa" w:w="1234"/>
          </w:tcPr>
          <w:p>
            <w:r>
              <w:rPr>
                <w:rFonts w:ascii="Calibri" w:hAnsi="Calibri"/>
                <w:sz w:val="22"/>
              </w:rPr>
              <w:t>+0.38pp above guidance</w:t>
            </w:r>
          </w:p>
        </w:tc>
      </w:tr>
      <w:tr>
        <w:tc>
          <w:tcPr>
            <w:tcW w:type="dxa" w:w="1234"/>
          </w:tcPr>
          <w:p>
            <w:r>
              <w:rPr>
                <w:rFonts w:ascii="Calibri" w:hAnsi="Calibri"/>
                <w:sz w:val="22"/>
              </w:rPr>
              <w:t>Total Revenues</w:t>
            </w:r>
          </w:p>
        </w:tc>
        <w:tc>
          <w:tcPr>
            <w:tcW w:type="dxa" w:w="1234"/>
          </w:tcPr>
          <w:p>
            <w:r>
              <w:rPr>
                <w:rFonts w:ascii="Calibri" w:hAnsi="Calibri"/>
                <w:sz w:val="22"/>
              </w:rPr>
              <w:t>$4.452B</w:t>
            </w:r>
          </w:p>
        </w:tc>
        <w:tc>
          <w:tcPr>
            <w:tcW w:type="dxa" w:w="1234"/>
          </w:tcPr>
          <w:p>
            <w:r>
              <w:rPr>
                <w:rFonts w:ascii="Calibri" w:hAnsi="Calibri"/>
                <w:sz w:val="22"/>
              </w:rPr>
              <w:t>$4.538B</w:t>
            </w:r>
          </w:p>
        </w:tc>
        <w:tc>
          <w:tcPr>
            <w:tcW w:type="dxa" w:w="1234"/>
          </w:tcPr>
          <w:p>
            <w:r>
              <w:rPr>
                <w:rFonts w:ascii="Calibri" w:hAnsi="Calibri"/>
                <w:sz w:val="22"/>
              </w:rPr>
              <w:t>$4.811B</w:t>
            </w:r>
          </w:p>
        </w:tc>
        <w:tc>
          <w:tcPr>
            <w:tcW w:type="dxa" w:w="1234"/>
          </w:tcPr>
          <w:p>
            <w:r>
              <w:rPr>
                <w:rFonts w:ascii="Calibri" w:hAnsi="Calibri"/>
                <w:sz w:val="22"/>
              </w:rPr>
              <w:t>+6.0% YoY</w:t>
            </w:r>
          </w:p>
        </w:tc>
        <w:tc>
          <w:tcPr>
            <w:tcW w:type="dxa" w:w="1234"/>
          </w:tcPr>
          <w:p>
            <w:r>
              <w:rPr>
                <w:rFonts w:ascii="Calibri" w:hAnsi="Calibri"/>
                <w:sz w:val="22"/>
              </w:rPr>
              <w:t>~Double-digit growth FY</w:t>
            </w:r>
          </w:p>
        </w:tc>
        <w:tc>
          <w:tcPr>
            <w:tcW w:type="dxa" w:w="1234"/>
          </w:tcPr>
          <w:p>
            <w:r>
              <w:rPr>
                <w:rFonts w:ascii="Calibri" w:hAnsi="Calibri"/>
                <w:sz w:val="22"/>
              </w:rPr>
              <w:t>N/A (no Q2 revenue guidance)</w:t>
            </w:r>
          </w:p>
        </w:tc>
      </w:tr>
      <w:tr>
        <w:tc>
          <w:tcPr>
            <w:tcW w:type="dxa" w:w="1234"/>
          </w:tcPr>
          <w:p>
            <w:r>
              <w:rPr>
                <w:rFonts w:ascii="Calibri" w:hAnsi="Calibri"/>
                <w:sz w:val="22"/>
              </w:rPr>
              <w:t>NCC ex-Fuel per APCD ($)</w:t>
            </w:r>
          </w:p>
        </w:tc>
        <w:tc>
          <w:tcPr>
            <w:tcW w:type="dxa" w:w="1234"/>
          </w:tcPr>
          <w:p>
            <w:r>
              <w:rPr>
                <w:rFonts w:ascii="Calibri" w:hAnsi="Calibri"/>
                <w:sz w:val="22"/>
              </w:rPr>
              <w:t>$130.32</w:t>
            </w:r>
          </w:p>
        </w:tc>
        <w:tc>
          <w:tcPr>
            <w:tcW w:type="dxa" w:w="1234"/>
          </w:tcPr>
          <w:p>
            <w:r>
              <w:rPr>
                <w:rFonts w:ascii="Calibri" w:hAnsi="Calibri"/>
                <w:sz w:val="22"/>
              </w:rPr>
              <w:t>$126.76</w:t>
            </w:r>
          </w:p>
        </w:tc>
        <w:tc>
          <w:tcPr>
            <w:tcW w:type="dxa" w:w="1234"/>
          </w:tcPr>
          <w:p>
            <w:r>
              <w:rPr>
                <w:rFonts w:ascii="Calibri" w:hAnsi="Calibri"/>
                <w:sz w:val="22"/>
              </w:rPr>
              <w:t>$133.11</w:t>
            </w:r>
          </w:p>
        </w:tc>
        <w:tc>
          <w:tcPr>
            <w:tcW w:type="dxa" w:w="1234"/>
          </w:tcPr>
          <w:p>
            <w:r>
              <w:rPr>
                <w:rFonts w:ascii="Calibri" w:hAnsi="Calibri"/>
                <w:sz w:val="22"/>
              </w:rPr>
              <w:t>+5.0% YoY</w:t>
            </w:r>
          </w:p>
        </w:tc>
        <w:tc>
          <w:tcPr>
            <w:tcW w:type="dxa" w:w="1234"/>
          </w:tcPr>
          <w:p>
            <w:r>
              <w:rPr>
                <w:rFonts w:ascii="Calibri" w:hAnsi="Calibri"/>
                <w:sz w:val="22"/>
              </w:rPr>
              <w:t>+4.6% to +5.1% CC</w:t>
            </w:r>
          </w:p>
        </w:tc>
        <w:tc>
          <w:tcPr>
            <w:tcW w:type="dxa" w:w="1234"/>
          </w:tcPr>
          <w:p>
            <w:r>
              <w:rPr>
                <w:rFonts w:ascii="Calibri" w:hAnsi="Calibri"/>
                <w:sz w:val="22"/>
              </w:rPr>
              <w:t>Consensus near midpoint of guidance</w:t>
            </w:r>
          </w:p>
        </w:tc>
      </w:tr>
      <w:tr>
        <w:tc>
          <w:tcPr>
            <w:tcW w:type="dxa" w:w="1234"/>
          </w:tcPr>
          <w:p>
            <w:r>
              <w:rPr>
                <w:rFonts w:ascii="Calibri" w:hAnsi="Calibri"/>
                <w:sz w:val="22"/>
              </w:rPr>
              <w:t>Occupancy (%)</w:t>
            </w:r>
          </w:p>
        </w:tc>
        <w:tc>
          <w:tcPr>
            <w:tcW w:type="dxa" w:w="1234"/>
          </w:tcPr>
          <w:p>
            <w:r>
              <w:rPr>
                <w:rFonts w:ascii="Calibri" w:hAnsi="Calibri"/>
                <w:sz w:val="22"/>
              </w:rPr>
              <w:t>108.5%</w:t>
            </w:r>
          </w:p>
        </w:tc>
        <w:tc>
          <w:tcPr>
            <w:tcW w:type="dxa" w:w="1234"/>
          </w:tcPr>
          <w:p>
            <w:r>
              <w:rPr>
                <w:rFonts w:ascii="Calibri" w:hAnsi="Calibri"/>
                <w:sz w:val="22"/>
              </w:rPr>
              <w:t>110.3%</w:t>
            </w:r>
          </w:p>
        </w:tc>
        <w:tc>
          <w:tcPr>
            <w:tcW w:type="dxa" w:w="1234"/>
          </w:tcPr>
          <w:p>
            <w:r>
              <w:rPr>
                <w:rFonts w:ascii="Calibri" w:hAnsi="Calibri"/>
                <w:sz w:val="22"/>
              </w:rPr>
              <w:t>110.2%</w:t>
            </w:r>
          </w:p>
        </w:tc>
        <w:tc>
          <w:tcPr>
            <w:tcW w:type="dxa" w:w="1234"/>
          </w:tcPr>
          <w:p>
            <w:r>
              <w:rPr>
                <w:rFonts w:ascii="Calibri" w:hAnsi="Calibri"/>
                <w:sz w:val="22"/>
              </w:rPr>
              <w:t>-0.1pp YoY</w:t>
            </w:r>
          </w:p>
        </w:tc>
        <w:tc>
          <w:tcPr>
            <w:tcW w:type="dxa" w:w="1234"/>
          </w:tcPr>
          <w:p>
            <w:r>
              <w:rPr>
                <w:rFonts w:ascii="Calibri" w:hAnsi="Calibri"/>
                <w:sz w:val="22"/>
              </w:rPr>
              <w:t>N/A (no explicit Q2 guidance)</w:t>
            </w:r>
          </w:p>
        </w:tc>
        <w:tc>
          <w:tcPr>
            <w:tcW w:type="dxa" w:w="1234"/>
          </w:tcPr>
          <w:p>
            <w:r>
              <w:rPr>
                <w:rFonts w:ascii="Calibri" w:hAnsi="Calibri"/>
                <w:sz w:val="22"/>
              </w:rPr>
              <w:t>N/A</w:t>
            </w:r>
          </w:p>
        </w:tc>
      </w:tr>
      <w:tr>
        <w:tc>
          <w:tcPr>
            <w:tcW w:type="dxa" w:w="1234"/>
          </w:tcPr>
          <w:p>
            <w:r>
              <w:rPr>
                <w:rFonts w:ascii="Calibri" w:hAnsi="Calibri"/>
                <w:sz w:val="22"/>
              </w:rPr>
              <w:t>Adj. EBITDA (Company Defined)</w:t>
            </w:r>
          </w:p>
        </w:tc>
        <w:tc>
          <w:tcPr>
            <w:tcW w:type="dxa" w:w="1234"/>
          </w:tcPr>
          <w:p>
            <w:r>
              <w:rPr>
                <w:rFonts w:ascii="Calibri" w:hAnsi="Calibri"/>
                <w:sz w:val="22"/>
              </w:rPr>
              <w:t>$1.701B</w:t>
            </w:r>
          </w:p>
        </w:tc>
        <w:tc>
          <w:tcPr>
            <w:tcW w:type="dxa" w:w="1234"/>
          </w:tcPr>
          <w:p>
            <w:r>
              <w:rPr>
                <w:rFonts w:ascii="Calibri" w:hAnsi="Calibri"/>
                <w:sz w:val="22"/>
              </w:rPr>
              <w:t>$1.860B</w:t>
            </w:r>
          </w:p>
        </w:tc>
        <w:tc>
          <w:tcPr>
            <w:tcW w:type="dxa" w:w="1234"/>
          </w:tcPr>
          <w:p>
            <w:r>
              <w:rPr>
                <w:rFonts w:ascii="Calibri" w:hAnsi="Calibri"/>
                <w:sz w:val="22"/>
              </w:rPr>
              <w:t>$1.822B</w:t>
            </w:r>
          </w:p>
        </w:tc>
        <w:tc>
          <w:tcPr>
            <w:tcW w:type="dxa" w:w="1234"/>
          </w:tcPr>
          <w:p>
            <w:r>
              <w:rPr>
                <w:rFonts w:ascii="Calibri" w:hAnsi="Calibri"/>
                <w:sz w:val="22"/>
              </w:rPr>
              <w:t>-2.0% YoY</w:t>
            </w:r>
          </w:p>
        </w:tc>
        <w:tc>
          <w:tcPr>
            <w:tcW w:type="dxa" w:w="1234"/>
          </w:tcPr>
          <w:p>
            <w:r>
              <w:rPr>
                <w:rFonts w:ascii="Calibri" w:hAnsi="Calibri"/>
                <w:sz w:val="22"/>
              </w:rPr>
              <w:t>N/A (no explicit Q2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Consensus Estimate as of July 27, 2026. Q2 2026 guidance from RCL Q1 2026 Earnings Call (April 30, 2026). YoY change computed from VA actuals. NCC ex-Fuel per APCD guidance of +4.6% to +5.1% CC includes ~400 bps of headwinds from dry-dock timing and crew travel costs.</w:t>
      </w:r>
    </w:p>
    <w:p>
      <w:pPr>
        <w:pStyle w:val="Heading3"/>
      </w:pPr>
      <w:r>
        <w:rPr>
          <w:rFonts w:ascii="Calibri" w:hAnsi="Calibri"/>
          <w:b/>
          <w:color w:val="3B4259"/>
          <w:sz w:val="24"/>
        </w:rPr>
        <w:t>Table 2 — Beat/Miss History: Last 8 Quarters (Top 2 KPIs: Adj. EPS &amp; Net Yields CC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$3.60</w:t>
            </w:r>
          </w:p>
        </w:tc>
        <w:tc>
          <w:tcPr>
            <w:tcW w:type="dxa" w:w="1440"/>
          </w:tcPr>
          <w:p>
            <w:r>
              <w:rPr>
                <w:rFonts w:ascii="Calibri" w:hAnsi="Calibri"/>
                <w:sz w:val="22"/>
              </w:rPr>
              <w:t>$3.21</w:t>
            </w:r>
          </w:p>
        </w:tc>
        <w:tc>
          <w:tcPr>
            <w:tcW w:type="dxa" w:w="1440"/>
          </w:tcPr>
          <w:p>
            <w:r>
              <w:rPr>
                <w:rFonts w:ascii="Calibri" w:hAnsi="Calibri"/>
                <w:b/>
                <w:color w:val="30A46C"/>
                <w:sz w:val="22"/>
              </w:rPr>
              <w:t>+12.1%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Yield CC Growth</w:t>
            </w:r>
          </w:p>
        </w:tc>
        <w:tc>
          <w:tcPr>
            <w:tcW w:type="dxa" w:w="1440"/>
          </w:tcPr>
          <w:p>
            <w:r>
              <w:rPr>
                <w:rFonts w:ascii="Calibri" w:hAnsi="Calibri"/>
                <w:sz w:val="22"/>
              </w:rPr>
              <w:t>+2.0%</w:t>
            </w:r>
          </w:p>
        </w:tc>
        <w:tc>
          <w:tcPr>
            <w:tcW w:type="dxa" w:w="1440"/>
          </w:tcPr>
          <w:p>
            <w:r>
              <w:rPr>
                <w:rFonts w:ascii="Calibri" w:hAnsi="Calibri"/>
                <w:sz w:val="22"/>
              </w:rPr>
              <w:t>+1.8%</w:t>
            </w:r>
          </w:p>
        </w:tc>
        <w:tc>
          <w:tcPr>
            <w:tcW w:type="dxa" w:w="1440"/>
          </w:tcPr>
          <w:p>
            <w:r>
              <w:rPr>
                <w:rFonts w:ascii="Calibri" w:hAnsi="Calibri"/>
                <w:b/>
                <w:color w:val="30A46C"/>
                <w:sz w:val="22"/>
              </w:rPr>
              <w:t>+0.2pp</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$2.80</w:t>
            </w:r>
          </w:p>
        </w:tc>
        <w:tc>
          <w:tcPr>
            <w:tcW w:type="dxa" w:w="1440"/>
          </w:tcPr>
          <w:p>
            <w:r>
              <w:rPr>
                <w:rFonts w:ascii="Calibri" w:hAnsi="Calibri"/>
                <w:sz w:val="22"/>
              </w:rPr>
              <w:t>$2.80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Net Yield CC Growth</w:t>
            </w:r>
          </w:p>
        </w:tc>
        <w:tc>
          <w:tcPr>
            <w:tcW w:type="dxa" w:w="1440"/>
          </w:tcPr>
          <w:p>
            <w:r>
              <w:rPr>
                <w:rFonts w:ascii="Calibri" w:hAnsi="Calibri"/>
                <w:sz w:val="22"/>
              </w:rPr>
              <w:t>+2.5%</w:t>
            </w:r>
          </w:p>
        </w:tc>
        <w:tc>
          <w:tcPr>
            <w:tcW w:type="dxa" w:w="1440"/>
          </w:tcPr>
          <w:p>
            <w:r>
              <w:rPr>
                <w:rFonts w:ascii="Calibri" w:hAnsi="Calibri"/>
                <w:sz w:val="22"/>
              </w:rPr>
              <w:t>+2.7%</w:t>
            </w:r>
          </w:p>
        </w:tc>
        <w:tc>
          <w:tcPr>
            <w:tcW w:type="dxa" w:w="1440"/>
          </w:tcPr>
          <w:p>
            <w:r>
              <w:rPr>
                <w:rFonts w:ascii="Calibri" w:hAnsi="Calibri"/>
                <w:b/>
                <w:color w:val="E5484D"/>
                <w:sz w:val="22"/>
              </w:rPr>
              <w:t>-0.2pp</w:t>
            </w:r>
          </w:p>
        </w:tc>
        <w:tc>
          <w:tcPr>
            <w:tcW w:type="dxa" w:w="1440"/>
          </w:tcPr>
          <w:p>
            <w:r>
              <w:rPr>
                <w:rFonts w:ascii="Calibri" w:hAnsi="Calibri"/>
                <w:sz w:val="22"/>
              </w:rPr>
              <w:t>SLIGHT 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$5.75</w:t>
            </w:r>
          </w:p>
        </w:tc>
        <w:tc>
          <w:tcPr>
            <w:tcW w:type="dxa" w:w="1440"/>
          </w:tcPr>
          <w:p>
            <w:r>
              <w:rPr>
                <w:rFonts w:ascii="Calibri" w:hAnsi="Calibri"/>
                <w:sz w:val="22"/>
              </w:rPr>
              <w:t>$5.69</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Yield CC Growth</w:t>
            </w:r>
          </w:p>
        </w:tc>
        <w:tc>
          <w:tcPr>
            <w:tcW w:type="dxa" w:w="1440"/>
          </w:tcPr>
          <w:p>
            <w:r>
              <w:rPr>
                <w:rFonts w:ascii="Calibri" w:hAnsi="Calibri"/>
                <w:sz w:val="22"/>
              </w:rPr>
              <w:t>+2.4%</w:t>
            </w:r>
          </w:p>
        </w:tc>
        <w:tc>
          <w:tcPr>
            <w:tcW w:type="dxa" w:w="1440"/>
          </w:tcPr>
          <w:p>
            <w:r>
              <w:rPr>
                <w:rFonts w:ascii="Calibri" w:hAnsi="Calibri"/>
                <w:sz w:val="22"/>
              </w:rPr>
              <w:t>+2.8%</w:t>
            </w:r>
          </w:p>
        </w:tc>
        <w:tc>
          <w:tcPr>
            <w:tcW w:type="dxa" w:w="1440"/>
          </w:tcPr>
          <w:p>
            <w:r>
              <w:rPr>
                <w:rFonts w:ascii="Calibri" w:hAnsi="Calibri"/>
                <w:b/>
                <w:color w:val="E5484D"/>
                <w:sz w:val="22"/>
              </w:rPr>
              <w:t>-0.4pp</w:t>
            </w:r>
          </w:p>
        </w:tc>
        <w:tc>
          <w:tcPr>
            <w:tcW w:type="dxa" w:w="1440"/>
          </w:tcPr>
          <w:p>
            <w:r>
              <w:rPr>
                <w:rFonts w:ascii="Calibri" w:hAnsi="Calibri"/>
                <w:sz w:val="22"/>
              </w:rPr>
              <w:t>SLIGHT 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$4.38</w:t>
            </w:r>
          </w:p>
        </w:tc>
        <w:tc>
          <w:tcPr>
            <w:tcW w:type="dxa" w:w="1440"/>
          </w:tcPr>
          <w:p>
            <w:r>
              <w:rPr>
                <w:rFonts w:ascii="Calibri" w:hAnsi="Calibri"/>
                <w:sz w:val="22"/>
              </w:rPr>
              <w:t>$4.10</w:t>
            </w:r>
          </w:p>
        </w:tc>
        <w:tc>
          <w:tcPr>
            <w:tcW w:type="dxa" w:w="1440"/>
          </w:tcPr>
          <w:p>
            <w:r>
              <w:rPr>
                <w:rFonts w:ascii="Calibri" w:hAnsi="Calibri"/>
                <w:b/>
                <w:color w:val="30A46C"/>
                <w:sz w:val="22"/>
              </w:rPr>
              <w:t>+6.8%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Yield CC Growth</w:t>
            </w:r>
          </w:p>
        </w:tc>
        <w:tc>
          <w:tcPr>
            <w:tcW w:type="dxa" w:w="1440"/>
          </w:tcPr>
          <w:p>
            <w:r>
              <w:rPr>
                <w:rFonts w:ascii="Calibri" w:hAnsi="Calibri"/>
                <w:sz w:val="22"/>
              </w:rPr>
              <w:t>+5.2%</w:t>
            </w:r>
          </w:p>
        </w:tc>
        <w:tc>
          <w:tcPr>
            <w:tcW w:type="dxa" w:w="1440"/>
          </w:tcPr>
          <w:p>
            <w:r>
              <w:rPr>
                <w:rFonts w:ascii="Calibri" w:hAnsi="Calibri"/>
                <w:sz w:val="22"/>
              </w:rPr>
              <w:t>+5.1%</w:t>
            </w:r>
          </w:p>
        </w:tc>
        <w:tc>
          <w:tcPr>
            <w:tcW w:type="dxa" w:w="1440"/>
          </w:tcPr>
          <w:p>
            <w:r>
              <w:rPr>
                <w:rFonts w:ascii="Calibri" w:hAnsi="Calibri"/>
                <w:b/>
                <w:color w:val="30A46C"/>
                <w:sz w:val="22"/>
              </w:rPr>
              <w:t>+0.1pp</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$2.71</w:t>
            </w:r>
          </w:p>
        </w:tc>
        <w:tc>
          <w:tcPr>
            <w:tcW w:type="dxa" w:w="1440"/>
          </w:tcPr>
          <w:p>
            <w:r>
              <w:rPr>
                <w:rFonts w:ascii="Calibri" w:hAnsi="Calibri"/>
                <w:sz w:val="22"/>
              </w:rPr>
              <w:t>$2.57</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Yield CC Growth</w:t>
            </w:r>
          </w:p>
        </w:tc>
        <w:tc>
          <w:tcPr>
            <w:tcW w:type="dxa" w:w="1440"/>
          </w:tcPr>
          <w:p>
            <w:r>
              <w:rPr>
                <w:rFonts w:ascii="Calibri" w:hAnsi="Calibri"/>
                <w:sz w:val="22"/>
              </w:rPr>
              <w:t>+5.6%</w:t>
            </w:r>
          </w:p>
        </w:tc>
        <w:tc>
          <w:tcPr>
            <w:tcW w:type="dxa" w:w="1440"/>
          </w:tcPr>
          <w:p>
            <w:r>
              <w:rPr>
                <w:rFonts w:ascii="Calibri" w:hAnsi="Calibri"/>
                <w:sz w:val="22"/>
              </w:rPr>
              <w:t>+5.1%</w:t>
            </w:r>
          </w:p>
        </w:tc>
        <w:tc>
          <w:tcPr>
            <w:tcW w:type="dxa" w:w="1440"/>
          </w:tcPr>
          <w:p>
            <w:r>
              <w:rPr>
                <w:rFonts w:ascii="Calibri" w:hAnsi="Calibri"/>
                <w:b/>
                <w:color w:val="30A46C"/>
                <w:sz w:val="22"/>
              </w:rPr>
              <w:t>+0.5pp</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$1.63</w:t>
            </w:r>
          </w:p>
        </w:tc>
        <w:tc>
          <w:tcPr>
            <w:tcW w:type="dxa" w:w="1440"/>
          </w:tcPr>
          <w:p>
            <w:r>
              <w:rPr>
                <w:rFonts w:ascii="Calibri" w:hAnsi="Calibri"/>
                <w:sz w:val="22"/>
              </w:rPr>
              <w:t>$1.50</w:t>
            </w:r>
          </w:p>
        </w:tc>
        <w:tc>
          <w:tcPr>
            <w:tcW w:type="dxa" w:w="1440"/>
          </w:tcPr>
          <w:p>
            <w:r>
              <w:rPr>
                <w:rFonts w:ascii="Calibri" w:hAnsi="Calibri"/>
                <w:b/>
                <w:color w:val="30A46C"/>
                <w:sz w:val="22"/>
              </w:rPr>
              <w:t>+8.9%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Yield CC Growth</w:t>
            </w:r>
          </w:p>
        </w:tc>
        <w:tc>
          <w:tcPr>
            <w:tcW w:type="dxa" w:w="1440"/>
          </w:tcPr>
          <w:p>
            <w:r>
              <w:rPr>
                <w:rFonts w:ascii="Calibri" w:hAnsi="Calibri"/>
                <w:sz w:val="22"/>
              </w:rPr>
              <w:t>+7.3%</w:t>
            </w:r>
          </w:p>
        </w:tc>
        <w:tc>
          <w:tcPr>
            <w:tcW w:type="dxa" w:w="1440"/>
          </w:tcPr>
          <w:p>
            <w:r>
              <w:rPr>
                <w:rFonts w:ascii="Calibri" w:hAnsi="Calibri"/>
                <w:sz w:val="22"/>
              </w:rPr>
              <w:t>+5.7%</w:t>
            </w:r>
          </w:p>
        </w:tc>
        <w:tc>
          <w:tcPr>
            <w:tcW w:type="dxa" w:w="1440"/>
          </w:tcPr>
          <w:p>
            <w:r>
              <w:rPr>
                <w:rFonts w:ascii="Calibri" w:hAnsi="Calibri"/>
                <w:b/>
                <w:color w:val="30A46C"/>
                <w:sz w:val="22"/>
              </w:rPr>
              <w:t>+1.6pp</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$5.20</w:t>
            </w:r>
          </w:p>
        </w:tc>
        <w:tc>
          <w:tcPr>
            <w:tcW w:type="dxa" w:w="1440"/>
          </w:tcPr>
          <w:p>
            <w:r>
              <w:rPr>
                <w:rFonts w:ascii="Calibri" w:hAnsi="Calibri"/>
                <w:sz w:val="22"/>
              </w:rPr>
              <w:t>$5.05</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Yield CC Growth</w:t>
            </w:r>
          </w:p>
        </w:tc>
        <w:tc>
          <w:tcPr>
            <w:tcW w:type="dxa" w:w="1440"/>
          </w:tcPr>
          <w:p>
            <w:r>
              <w:rPr>
                <w:rFonts w:ascii="Calibri" w:hAnsi="Calibri"/>
                <w:sz w:val="22"/>
              </w:rPr>
              <w:t>+7.9%</w:t>
            </w:r>
          </w:p>
        </w:tc>
        <w:tc>
          <w:tcPr>
            <w:tcW w:type="dxa" w:w="1440"/>
          </w:tcPr>
          <w:p>
            <w:r>
              <w:rPr>
                <w:rFonts w:ascii="Calibri" w:hAnsi="Calibri"/>
                <w:sz w:val="22"/>
              </w:rPr>
              <w:t>+8.3%</w:t>
            </w:r>
          </w:p>
        </w:tc>
        <w:tc>
          <w:tcPr>
            <w:tcW w:type="dxa" w:w="1440"/>
          </w:tcPr>
          <w:p>
            <w:r>
              <w:rPr>
                <w:rFonts w:ascii="Calibri" w:hAnsi="Calibri"/>
                <w:b/>
                <w:color w:val="E5484D"/>
                <w:sz w:val="22"/>
              </w:rPr>
              <w:t>-0.4pp</w:t>
            </w:r>
          </w:p>
        </w:tc>
        <w:tc>
          <w:tcPr>
            <w:tcW w:type="dxa" w:w="1440"/>
          </w:tcPr>
          <w:p>
            <w:r>
              <w:rPr>
                <w:rFonts w:ascii="Calibri" w:hAnsi="Calibri"/>
                <w:sz w:val="22"/>
              </w:rPr>
              <w:t>SLIGHT 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$3.21</w:t>
            </w:r>
          </w:p>
        </w:tc>
        <w:tc>
          <w:tcPr>
            <w:tcW w:type="dxa" w:w="1440"/>
          </w:tcPr>
          <w:p>
            <w:r>
              <w:rPr>
                <w:rFonts w:ascii="Calibri" w:hAnsi="Calibri"/>
                <w:sz w:val="22"/>
              </w:rPr>
              <w:t>$2.76</w:t>
            </w:r>
          </w:p>
        </w:tc>
        <w:tc>
          <w:tcPr>
            <w:tcW w:type="dxa" w:w="1440"/>
          </w:tcPr>
          <w:p>
            <w:r>
              <w:rPr>
                <w:rFonts w:ascii="Calibri" w:hAnsi="Calibri"/>
                <w:b/>
                <w:color w:val="30A46C"/>
                <w:sz w:val="22"/>
              </w:rPr>
              <w:t>+16.3%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Yield CC Growth</w:t>
            </w:r>
          </w:p>
        </w:tc>
        <w:tc>
          <w:tcPr>
            <w:tcW w:type="dxa" w:w="1440"/>
          </w:tcPr>
          <w:p>
            <w:r>
              <w:rPr>
                <w:rFonts w:ascii="Calibri" w:hAnsi="Calibri"/>
                <w:sz w:val="22"/>
              </w:rPr>
              <w:t>+13.3%</w:t>
            </w:r>
          </w:p>
        </w:tc>
        <w:tc>
          <w:tcPr>
            <w:tcW w:type="dxa" w:w="1440"/>
          </w:tcPr>
          <w:p>
            <w:r>
              <w:rPr>
                <w:rFonts w:ascii="Calibri" w:hAnsi="Calibri"/>
                <w:sz w:val="22"/>
              </w:rPr>
              <w:t>+10.7%</w:t>
            </w:r>
          </w:p>
        </w:tc>
        <w:tc>
          <w:tcPr>
            <w:tcW w:type="dxa" w:w="1440"/>
          </w:tcPr>
          <w:p>
            <w:r>
              <w:rPr>
                <w:rFonts w:ascii="Calibri" w:hAnsi="Calibri"/>
                <w:b/>
                <w:color w:val="30A46C"/>
                <w:sz w:val="22"/>
              </w:rPr>
              <w:t>+2.6pp</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RCL has beaten adjusted EPS consensus in 7 of the last 8 quarters, with an average positive surprise of ~+7%. Net yield CC growth beats are less consistent (5 of 8), with slight misses in Q3 2024, Q3 2025, and Q4 2025 — all quarters where geopolitical or macro noise created forecast uncertainty. The EPS beat pattern is structural (management guides conservatively); the yield beat pattern is more variable and is the key read-through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 has been issued since the April 30 call; the Q2 and full-year framework is unchanged, but management's tone on Mediterranean recovery was notably confident ('we have turned the corner'), and Carnival's June quarter provides incremental evidence that the geopolitical headwind is proving transitory.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$3.83–$3.93</w:t>
            </w:r>
          </w:p>
        </w:tc>
        <w:tc>
          <w:tcPr>
            <w:tcW w:type="dxa" w:w="1728"/>
          </w:tcPr>
          <w:p>
            <w:r>
              <w:rPr>
                <w:rFonts w:ascii="Calibri" w:hAnsi="Calibri"/>
                <w:sz w:val="22"/>
              </w:rPr>
              <w:t>—</w:t>
            </w:r>
          </w:p>
        </w:tc>
        <w:tc>
          <w:tcPr>
            <w:tcW w:type="dxa" w:w="1728"/>
          </w:tcPr>
          <w:p>
            <w:r>
              <w:rPr>
                <w:rFonts w:ascii="Calibri" w:hAnsi="Calibri"/>
                <w:sz w:val="22"/>
              </w:rPr>
              <w:t>$3.98</w:t>
            </w:r>
          </w:p>
        </w:tc>
        <w:tc>
          <w:tcPr>
            <w:tcW w:type="dxa" w:w="1728"/>
          </w:tcPr>
          <w:p>
            <w:r>
              <w:rPr>
                <w:rFonts w:ascii="Calibri" w:hAnsi="Calibri"/>
                <w:sz w:val="22"/>
              </w:rPr>
              <w:t>No post-earnings revision; consensus sits $0.10 above midpoint</w:t>
            </w:r>
          </w:p>
        </w:tc>
      </w:tr>
      <w:tr>
        <w:tc>
          <w:tcPr>
            <w:tcW w:type="dxa" w:w="1728"/>
          </w:tcPr>
          <w:p>
            <w:r>
              <w:rPr>
                <w:rFonts w:ascii="Calibri" w:hAnsi="Calibri"/>
                <w:sz w:val="22"/>
              </w:rPr>
              <w:t>Q2 2026 Net Yield CC Growth</w:t>
            </w:r>
          </w:p>
        </w:tc>
        <w:tc>
          <w:tcPr>
            <w:tcW w:type="dxa" w:w="1728"/>
          </w:tcPr>
          <w:p>
            <w:r>
              <w:rPr>
                <w:rFonts w:ascii="Calibri" w:hAnsi="Calibri"/>
                <w:sz w:val="22"/>
              </w:rPr>
              <w:t>~+0.2% CC</w:t>
            </w:r>
          </w:p>
        </w:tc>
        <w:tc>
          <w:tcPr>
            <w:tcW w:type="dxa" w:w="1728"/>
          </w:tcPr>
          <w:p>
            <w:r>
              <w:rPr>
                <w:rFonts w:ascii="Calibri" w:hAnsi="Calibri"/>
                <w:sz w:val="22"/>
              </w:rPr>
              <w:t>—</w:t>
            </w:r>
          </w:p>
        </w:tc>
        <w:tc>
          <w:tcPr>
            <w:tcW w:type="dxa" w:w="1728"/>
          </w:tcPr>
          <w:p>
            <w:r>
              <w:rPr>
                <w:rFonts w:ascii="Calibri" w:hAnsi="Calibri"/>
                <w:sz w:val="22"/>
              </w:rPr>
              <w:t>~+0.58% CC</w:t>
            </w:r>
          </w:p>
        </w:tc>
        <w:tc>
          <w:tcPr>
            <w:tcW w:type="dxa" w:w="1728"/>
          </w:tcPr>
          <w:p>
            <w:r>
              <w:rPr>
                <w:rFonts w:ascii="Calibri" w:hAnsi="Calibri"/>
                <w:sz w:val="22"/>
              </w:rPr>
              <w:t>Consensus ~+0.4pp above guidance; Street pricing in modest beat</w:t>
            </w:r>
          </w:p>
        </w:tc>
      </w:tr>
      <w:tr>
        <w:tc>
          <w:tcPr>
            <w:tcW w:type="dxa" w:w="1728"/>
          </w:tcPr>
          <w:p>
            <w:r>
              <w:rPr>
                <w:rFonts w:ascii="Calibri" w:hAnsi="Calibri"/>
                <w:sz w:val="22"/>
              </w:rPr>
              <w:t>Q2 2026 NCC ex-Fuel per APCD CC Growth</w:t>
            </w:r>
          </w:p>
        </w:tc>
        <w:tc>
          <w:tcPr>
            <w:tcW w:type="dxa" w:w="1728"/>
          </w:tcPr>
          <w:p>
            <w:r>
              <w:rPr>
                <w:rFonts w:ascii="Calibri" w:hAnsi="Calibri"/>
                <w:sz w:val="22"/>
              </w:rPr>
              <w:t>+4.6% to +5.1% CC</w:t>
            </w:r>
          </w:p>
        </w:tc>
        <w:tc>
          <w:tcPr>
            <w:tcW w:type="dxa" w:w="1728"/>
          </w:tcPr>
          <w:p>
            <w:r>
              <w:rPr>
                <w:rFonts w:ascii="Calibri" w:hAnsi="Calibri"/>
                <w:sz w:val="22"/>
              </w:rPr>
              <w:t>—</w:t>
            </w:r>
          </w:p>
        </w:tc>
        <w:tc>
          <w:tcPr>
            <w:tcW w:type="dxa" w:w="1728"/>
          </w:tcPr>
          <w:p>
            <w:r>
              <w:rPr>
                <w:rFonts w:ascii="Calibri" w:hAnsi="Calibri"/>
                <w:sz w:val="22"/>
              </w:rPr>
              <w:t>Near midpoint of guidance</w:t>
            </w:r>
          </w:p>
        </w:tc>
        <w:tc>
          <w:tcPr>
            <w:tcW w:type="dxa" w:w="1728"/>
          </w:tcPr>
          <w:p>
            <w:r>
              <w:rPr>
                <w:rFonts w:ascii="Calibri" w:hAnsi="Calibri"/>
                <w:sz w:val="22"/>
              </w:rPr>
              <w:t>~400 bps headwind from dry-docks and crew travel costs embedded</w:t>
            </w:r>
          </w:p>
        </w:tc>
      </w:tr>
      <w:tr>
        <w:tc>
          <w:tcPr>
            <w:tcW w:type="dxa" w:w="1728"/>
          </w:tcPr>
          <w:p>
            <w:r>
              <w:rPr>
                <w:rFonts w:ascii="Calibri" w:hAnsi="Calibri"/>
                <w:sz w:val="22"/>
              </w:rPr>
              <w:t>FY 2026 Adj. EPS</w:t>
            </w:r>
          </w:p>
        </w:tc>
        <w:tc>
          <w:tcPr>
            <w:tcW w:type="dxa" w:w="1728"/>
          </w:tcPr>
          <w:p>
            <w:r>
              <w:rPr>
                <w:rFonts w:ascii="Calibri" w:hAnsi="Calibri"/>
                <w:sz w:val="22"/>
              </w:rPr>
              <w:t>$17.10–$17.50</w:t>
            </w:r>
          </w:p>
        </w:tc>
        <w:tc>
          <w:tcPr>
            <w:tcW w:type="dxa" w:w="1728"/>
          </w:tcPr>
          <w:p>
            <w:r>
              <w:rPr>
                <w:rFonts w:ascii="Calibri" w:hAnsi="Calibri"/>
                <w:sz w:val="22"/>
              </w:rPr>
              <w:t>—</w:t>
            </w:r>
          </w:p>
        </w:tc>
        <w:tc>
          <w:tcPr>
            <w:tcW w:type="dxa" w:w="1728"/>
          </w:tcPr>
          <w:p>
            <w:r>
              <w:rPr>
                <w:rFonts w:ascii="Calibri" w:hAnsi="Calibri"/>
                <w:sz w:val="22"/>
              </w:rPr>
              <w:t>$17.35</w:t>
            </w:r>
          </w:p>
        </w:tc>
        <w:tc>
          <w:tcPr>
            <w:tcW w:type="dxa" w:w="1728"/>
          </w:tcPr>
          <w:p>
            <w:r>
              <w:rPr>
                <w:rFonts w:ascii="Calibri" w:hAnsi="Calibri"/>
                <w:sz w:val="22"/>
              </w:rPr>
              <w:t>Consensus at midpoint; includes $0.74/share fuel headwind and $0.12 TUI JV headwind</w:t>
            </w:r>
          </w:p>
        </w:tc>
      </w:tr>
      <w:tr>
        <w:tc>
          <w:tcPr>
            <w:tcW w:type="dxa" w:w="1728"/>
          </w:tcPr>
          <w:p>
            <w:r>
              <w:rPr>
                <w:rFonts w:ascii="Calibri" w:hAnsi="Calibri"/>
                <w:sz w:val="22"/>
              </w:rPr>
              <w:t>FY 2026 Net Yield CC Growth</w:t>
            </w:r>
          </w:p>
        </w:tc>
        <w:tc>
          <w:tcPr>
            <w:tcW w:type="dxa" w:w="1728"/>
          </w:tcPr>
          <w:p>
            <w:r>
              <w:rPr>
                <w:rFonts w:ascii="Calibri" w:hAnsi="Calibri"/>
                <w:sz w:val="22"/>
              </w:rPr>
              <w:t>+1.5% to +2.5% CC</w:t>
            </w:r>
          </w:p>
        </w:tc>
        <w:tc>
          <w:tcPr>
            <w:tcW w:type="dxa" w:w="1728"/>
          </w:tcPr>
          <w:p>
            <w:r>
              <w:rPr>
                <w:rFonts w:ascii="Calibri" w:hAnsi="Calibri"/>
                <w:sz w:val="22"/>
              </w:rPr>
              <w:t>—</w:t>
            </w:r>
          </w:p>
        </w:tc>
        <w:tc>
          <w:tcPr>
            <w:tcW w:type="dxa" w:w="1728"/>
          </w:tcPr>
          <w:p>
            <w:r>
              <w:rPr>
                <w:rFonts w:ascii="Calibri" w:hAnsi="Calibri"/>
                <w:sz w:val="22"/>
              </w:rPr>
              <w:t>~+1.8% CC</w:t>
            </w:r>
          </w:p>
        </w:tc>
        <w:tc>
          <w:tcPr>
            <w:tcW w:type="dxa" w:w="1728"/>
          </w:tcPr>
          <w:p>
            <w:r>
              <w:rPr>
                <w:rFonts w:ascii="Calibri" w:hAnsi="Calibri"/>
                <w:sz w:val="22"/>
              </w:rPr>
              <w:t>Consensus near low end of range; reflects geo headwinds in Q2/Q3</w:t>
            </w:r>
          </w:p>
        </w:tc>
      </w:tr>
      <w:tr>
        <w:tc>
          <w:tcPr>
            <w:tcW w:type="dxa" w:w="1728"/>
          </w:tcPr>
          <w:p>
            <w:r>
              <w:rPr>
                <w:rFonts w:ascii="Calibri" w:hAnsi="Calibri"/>
                <w:sz w:val="22"/>
              </w:rPr>
              <w:t>FY 2026 NCC ex-Fuel CC Growth</w:t>
            </w:r>
          </w:p>
        </w:tc>
        <w:tc>
          <w:tcPr>
            <w:tcW w:type="dxa" w:w="1728"/>
          </w:tcPr>
          <w:p>
            <w:r>
              <w:rPr>
                <w:rFonts w:ascii="Calibri" w:hAnsi="Calibri"/>
                <w:sz w:val="22"/>
              </w:rPr>
              <w:t>~Flat to -50 bps vs. prior guidance</w:t>
            </w:r>
          </w:p>
        </w:tc>
        <w:tc>
          <w:tcPr>
            <w:tcW w:type="dxa" w:w="1728"/>
          </w:tcPr>
          <w:p>
            <w:r>
              <w:rPr>
                <w:rFonts w:ascii="Calibri" w:hAnsi="Calibri"/>
                <w:sz w:val="22"/>
              </w:rPr>
              <w:t>—</w:t>
            </w:r>
          </w:p>
        </w:tc>
        <w:tc>
          <w:tcPr>
            <w:tcW w:type="dxa" w:w="1728"/>
          </w:tcPr>
          <w:p>
            <w:r>
              <w:rPr>
                <w:rFonts w:ascii="Calibri" w:hAnsi="Calibri"/>
                <w:sz w:val="22"/>
              </w:rPr>
              <w:t>Near flat</w:t>
            </w:r>
          </w:p>
        </w:tc>
        <w:tc>
          <w:tcPr>
            <w:tcW w:type="dxa" w:w="1728"/>
          </w:tcPr>
          <w:p>
            <w:r>
              <w:rPr>
                <w:rFonts w:ascii="Calibri" w:hAnsi="Calibri"/>
                <w:sz w:val="22"/>
              </w:rPr>
              <w:t>Ongoing efficiency improvements; no deferral of initiatives</w:t>
            </w:r>
          </w:p>
        </w:tc>
      </w:tr>
      <w:tr>
        <w:tc>
          <w:tcPr>
            <w:tcW w:type="dxa" w:w="1728"/>
          </w:tcPr>
          <w:p>
            <w:r>
              <w:rPr>
                <w:rFonts w:ascii="Calibri" w:hAnsi="Calibri"/>
                <w:sz w:val="22"/>
              </w:rPr>
              <w:t>FY 2026 Capacity Growth</w:t>
            </w:r>
          </w:p>
        </w:tc>
        <w:tc>
          <w:tcPr>
            <w:tcW w:type="dxa" w:w="1728"/>
          </w:tcPr>
          <w:p>
            <w:r>
              <w:rPr>
                <w:rFonts w:ascii="Calibri" w:hAnsi="Calibri"/>
                <w:sz w:val="22"/>
              </w:rPr>
              <w:t>+6.7% YoY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Q1/Q3 growing faster than Q2/Q4</w:t>
            </w:r>
          </w:p>
        </w:tc>
      </w:tr>
      <w:tr>
        <w:tc>
          <w:tcPr>
            <w:tcW w:type="dxa" w:w="1728"/>
          </w:tcPr>
          <w:p>
            <w:r>
              <w:rPr>
                <w:rFonts w:ascii="Calibri" w:hAnsi="Calibri"/>
                <w:sz w:val="22"/>
              </w:rPr>
              <w:t>FY 2026 Fuel Expense</w:t>
            </w:r>
          </w:p>
        </w:tc>
        <w:tc>
          <w:tcPr>
            <w:tcW w:type="dxa" w:w="1728"/>
          </w:tcPr>
          <w:p>
            <w:r>
              <w:rPr>
                <w:rFonts w:ascii="Calibri" w:hAnsi="Calibri"/>
                <w:sz w:val="22"/>
              </w:rPr>
              <w:t>$1.35B (59% hedged for remainder of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Forward curve implies ~4% lower fuel expense; potential tailwind if spot prices ease</w:t>
            </w:r>
          </w:p>
        </w:tc>
      </w:tr>
    </w:tbl>
    <w:p>
      <w:r>
        <w:rPr>
          <w:rFonts w:ascii="Calibri" w:hAnsi="Calibri"/>
          <w:i/>
          <w:color w:val="525866"/>
          <w:sz w:val="22"/>
        </w:rPr>
        <w:t>Source: RCL Q1 2026 Earnings Call transcript (April 30, 2026); Visible Alpha Consensus Data.</w:t>
      </w:r>
    </w:p>
    <w:p>
      <w:r>
        <w:rPr>
          <w:rFonts w:ascii="Calibri" w:hAnsi="Calibri"/>
          <w:b/>
          <w:color w:val="525866"/>
          <w:sz w:val="22"/>
        </w:rPr>
        <w:t xml:space="preserve">Commentary: </w:t>
      </w:r>
      <w:r>
        <w:rPr>
          <w:rFonts w:ascii="Calibri" w:hAnsi="Calibri"/>
          <w:color w:val="525866"/>
          <w:sz w:val="22"/>
        </w:rPr>
        <w:t xml:space="preserve">Management's tone on April 30 was notably bifurcated: confident on underlying demand and cost discipline, but explicitly cautious on near-term yields due to Mediterranean and West Coast Mexico disruption. The 'smiley face' yield cadence (Q2/Q3 trough, Q4 recovery) was clearly telegraphed. Key management quotes: </w:t>
      </w:r>
    </w:p>
    <w:p>
      <w:pPr>
        <w:pStyle w:val="ListBullet"/>
        <w:ind w:left="360" w:hanging="360"/>
      </w:pPr>
      <w:r>
        <w:rPr>
          <w:rFonts w:ascii="Calibri" w:hAnsi="Calibri"/>
          <w:i/>
          <w:color w:val="525866"/>
          <w:sz w:val="22"/>
        </w:rPr>
        <w:t>"We are not turning the corner. We have turned the corner"</w:t>
      </w:r>
      <w:r>
        <w:rPr>
          <w:rFonts w:ascii="Calibri" w:hAnsi="Calibri"/>
          <w:color w:val="525866"/>
          <w:sz w:val="22"/>
        </w:rPr>
        <w:t xml:space="preserve"> — on Mediterranean booking recovery (April 30, 2026 earnings call)</w:t>
      </w:r>
    </w:p>
    <w:p>
      <w:pPr>
        <w:pStyle w:val="ListBullet"/>
        <w:ind w:left="360" w:hanging="360"/>
      </w:pPr>
      <w:r>
        <w:rPr>
          <w:rFonts w:ascii="Calibri" w:hAnsi="Calibri"/>
          <w:i/>
          <w:color w:val="525866"/>
          <w:sz w:val="22"/>
        </w:rPr>
        <w:t>"The year is a little bit of a smiley face in terms of yield"</w:t>
      </w:r>
      <w:r>
        <w:rPr>
          <w:rFonts w:ascii="Calibri" w:hAnsi="Calibri"/>
          <w:color w:val="525866"/>
          <w:sz w:val="22"/>
        </w:rPr>
        <w:t xml:space="preserve"> — on Q2/Q3 trough and Q4 recovery cadence</w:t>
      </w:r>
    </w:p>
    <w:p>
      <w:pPr>
        <w:pStyle w:val="ListBullet"/>
        <w:ind w:left="360" w:hanging="360"/>
      </w:pPr>
      <w:r>
        <w:rPr>
          <w:rFonts w:ascii="Calibri" w:hAnsi="Calibri"/>
          <w:i/>
          <w:color w:val="525866"/>
          <w:sz w:val="22"/>
        </w:rPr>
        <w:t>"The consumer backdrop remains healthy and demand for our vacation experiences continue to be strong"</w:t>
      </w:r>
      <w:r>
        <w:rPr>
          <w:rFonts w:ascii="Calibri" w:hAnsi="Calibri"/>
          <w:color w:val="525866"/>
          <w:sz w:val="22"/>
        </w:rPr>
        <w:t xml:space="preserve"> — on underlying demand</w:t>
      </w:r>
    </w:p>
    <w:p>
      <w:pPr>
        <w:pStyle w:val="ListBullet"/>
        <w:ind w:left="360" w:hanging="360"/>
      </w:pPr>
      <w:r>
        <w:rPr>
          <w:rFonts w:ascii="Calibri" w:hAnsi="Calibri"/>
          <w:i/>
          <w:color w:val="525866"/>
          <w:sz w:val="22"/>
        </w:rPr>
        <w:t>"We are on track on our Perfecta Performance Program, targeting a 20% CAGR in adjusted EPS through 2027 and ROIC in the high teens"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EPS estimates have been essentially flat since the April 30 post-print baseline ($3.94 → $3.98), while full-year estimates are stable near the guidance midpoint — the Street has absorbed the guidance reset and is not pricing in incremental risk or upside; any full-year raise on the Q2 call would be the key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$3.94</w:t>
            </w:r>
          </w:p>
        </w:tc>
        <w:tc>
          <w:tcPr>
            <w:tcW w:type="dxa" w:w="1080"/>
          </w:tcPr>
          <w:p>
            <w:r>
              <w:rPr>
                <w:rFonts w:ascii="Calibri" w:hAnsi="Calibri"/>
                <w:sz w:val="22"/>
              </w:rPr>
              <w:t>$3.98</w:t>
            </w:r>
          </w:p>
        </w:tc>
        <w:tc>
          <w:tcPr>
            <w:tcW w:type="dxa" w:w="1080"/>
          </w:tcPr>
          <w:p>
            <w:r>
              <w:rPr>
                <w:rFonts w:ascii="Calibri" w:hAnsi="Calibri"/>
                <w:sz w:val="22"/>
              </w:rPr>
              <w:t>+1.0%</w:t>
            </w:r>
          </w:p>
        </w:tc>
        <w:tc>
          <w:tcPr>
            <w:tcW w:type="dxa" w:w="1080"/>
          </w:tcPr>
          <w:p>
            <w:r>
              <w:rPr>
                <w:rFonts w:ascii="Calibri" w:hAnsi="Calibri"/>
                <w:sz w:val="22"/>
              </w:rPr>
              <w:t>$3.83–$3.93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+$0.10 / +2.6% above midpoint</w:t>
            </w:r>
          </w:p>
        </w:tc>
      </w:tr>
      <w:tr>
        <w:tc>
          <w:tcPr>
            <w:tcW w:type="dxa" w:w="1080"/>
          </w:tcPr>
          <w:p>
            <w:r>
              <w:rPr>
                <w:rFonts w:ascii="Calibri" w:hAnsi="Calibri"/>
                <w:sz w:val="22"/>
              </w:rPr>
              <w:t>Net Yield CC Growth — Q2 2026</w:t>
            </w:r>
          </w:p>
        </w:tc>
        <w:tc>
          <w:tcPr>
            <w:tcW w:type="dxa" w:w="1080"/>
          </w:tcPr>
          <w:p>
            <w:r>
              <w:rPr>
                <w:rFonts w:ascii="Calibri" w:hAnsi="Calibri"/>
                <w:sz w:val="22"/>
              </w:rPr>
              <w:t>+0.41%</w:t>
            </w:r>
          </w:p>
        </w:tc>
        <w:tc>
          <w:tcPr>
            <w:tcW w:type="dxa" w:w="1080"/>
          </w:tcPr>
          <w:p>
            <w:r>
              <w:rPr>
                <w:rFonts w:ascii="Calibri" w:hAnsi="Calibri"/>
                <w:sz w:val="22"/>
              </w:rPr>
              <w:t>+0.58%</w:t>
            </w:r>
          </w:p>
        </w:tc>
        <w:tc>
          <w:tcPr>
            <w:tcW w:type="dxa" w:w="1080"/>
          </w:tcPr>
          <w:p>
            <w:r>
              <w:rPr>
                <w:rFonts w:ascii="Calibri" w:hAnsi="Calibri"/>
                <w:sz w:val="22"/>
              </w:rPr>
              <w:t>+0.17pp</w:t>
            </w:r>
          </w:p>
        </w:tc>
        <w:tc>
          <w:tcPr>
            <w:tcW w:type="dxa" w:w="1080"/>
          </w:tcPr>
          <w:p>
            <w:r>
              <w:rPr>
                <w:rFonts w:ascii="Calibri" w:hAnsi="Calibri"/>
                <w:sz w:val="22"/>
              </w:rPr>
              <w:t>~+0.2%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+0.38pp above guidance</w:t>
            </w:r>
          </w:p>
        </w:tc>
      </w:tr>
      <w:tr>
        <w:tc>
          <w:tcPr>
            <w:tcW w:type="dxa" w:w="1080"/>
          </w:tcPr>
          <w:p>
            <w:r>
              <w:rPr>
                <w:rFonts w:ascii="Calibri" w:hAnsi="Calibri"/>
                <w:sz w:val="22"/>
              </w:rPr>
              <w:t>Adj. EPS — FY 2026</w:t>
            </w:r>
          </w:p>
        </w:tc>
        <w:tc>
          <w:tcPr>
            <w:tcW w:type="dxa" w:w="1080"/>
          </w:tcPr>
          <w:p>
            <w:r>
              <w:rPr>
                <w:rFonts w:ascii="Calibri" w:hAnsi="Calibri"/>
                <w:sz w:val="22"/>
              </w:rPr>
              <w:t>$17.36</w:t>
            </w:r>
          </w:p>
        </w:tc>
        <w:tc>
          <w:tcPr>
            <w:tcW w:type="dxa" w:w="1080"/>
          </w:tcPr>
          <w:p>
            <w:r>
              <w:rPr>
                <w:rFonts w:ascii="Calibri" w:hAnsi="Calibri"/>
                <w:sz w:val="22"/>
              </w:rPr>
              <w:t>$17.35</w:t>
            </w:r>
          </w:p>
        </w:tc>
        <w:tc>
          <w:tcPr>
            <w:tcW w:type="dxa" w:w="1080"/>
          </w:tcPr>
          <w:p>
            <w:r>
              <w:rPr>
                <w:rFonts w:ascii="Calibri" w:hAnsi="Calibri"/>
                <w:sz w:val="22"/>
              </w:rPr>
              <w:t>-0.1%</w:t>
            </w:r>
          </w:p>
        </w:tc>
        <w:tc>
          <w:tcPr>
            <w:tcW w:type="dxa" w:w="1080"/>
          </w:tcPr>
          <w:p>
            <w:r>
              <w:rPr>
                <w:rFonts w:ascii="Calibri" w:hAnsi="Calibri"/>
                <w:sz w:val="22"/>
              </w:rPr>
              <w:t>$17.10–$17.50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($17.30)</w:t>
            </w:r>
          </w:p>
        </w:tc>
      </w:tr>
      <w:tr>
        <w:tc>
          <w:tcPr>
            <w:tcW w:type="dxa" w:w="1080"/>
          </w:tcPr>
          <w:p>
            <w:r>
              <w:rPr>
                <w:rFonts w:ascii="Calibri" w:hAnsi="Calibri"/>
                <w:sz w:val="22"/>
              </w:rPr>
              <w:t>Net Yield CC Growth — FY 2026</w:t>
            </w:r>
          </w:p>
        </w:tc>
        <w:tc>
          <w:tcPr>
            <w:tcW w:type="dxa" w:w="1080"/>
          </w:tcPr>
          <w:p>
            <w:r>
              <w:rPr>
                <w:rFonts w:ascii="Calibri" w:hAnsi="Calibri"/>
                <w:sz w:val="22"/>
              </w:rPr>
              <w:t>+2.04%</w:t>
            </w:r>
          </w:p>
        </w:tc>
        <w:tc>
          <w:tcPr>
            <w:tcW w:type="dxa" w:w="1080"/>
          </w:tcPr>
          <w:p>
            <w:r>
              <w:rPr>
                <w:rFonts w:ascii="Calibri" w:hAnsi="Calibri"/>
                <w:sz w:val="22"/>
              </w:rPr>
              <w:t>+1.80%</w:t>
            </w:r>
          </w:p>
        </w:tc>
        <w:tc>
          <w:tcPr>
            <w:tcW w:type="dxa" w:w="1080"/>
          </w:tcPr>
          <w:p>
            <w:r>
              <w:rPr>
                <w:rFonts w:ascii="Calibri" w:hAnsi="Calibri"/>
                <w:sz w:val="22"/>
              </w:rPr>
              <w:t>-0.24pp</w:t>
            </w:r>
          </w:p>
        </w:tc>
        <w:tc>
          <w:tcPr>
            <w:tcW w:type="dxa" w:w="1080"/>
          </w:tcPr>
          <w:p>
            <w:r>
              <w:rPr>
                <w:rFonts w:ascii="Calibri" w:hAnsi="Calibri"/>
                <w:sz w:val="22"/>
              </w:rPr>
              <w:t>+1.5% to +2.5%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low end of range</w:t>
            </w:r>
          </w:p>
        </w:tc>
      </w:tr>
      <w:tr>
        <w:tc>
          <w:tcPr>
            <w:tcW w:type="dxa" w:w="1080"/>
          </w:tcPr>
          <w:p>
            <w:r>
              <w:rPr>
                <w:rFonts w:ascii="Calibri" w:hAnsi="Calibri"/>
                <w:sz w:val="22"/>
              </w:rPr>
              <w:t>Total Revenue — FY 2026</w:t>
            </w:r>
          </w:p>
        </w:tc>
        <w:tc>
          <w:tcPr>
            <w:tcW w:type="dxa" w:w="1080"/>
          </w:tcPr>
          <w:p>
            <w:r>
              <w:rPr>
                <w:rFonts w:ascii="Calibri" w:hAnsi="Calibri"/>
                <w:sz w:val="22"/>
              </w:rPr>
              <w:t>$19.60B</w:t>
            </w:r>
          </w:p>
        </w:tc>
        <w:tc>
          <w:tcPr>
            <w:tcW w:type="dxa" w:w="1080"/>
          </w:tcPr>
          <w:p>
            <w:r>
              <w:rPr>
                <w:rFonts w:ascii="Calibri" w:hAnsi="Calibri"/>
                <w:sz w:val="22"/>
              </w:rPr>
              <w:t>$19.60B</w:t>
            </w:r>
          </w:p>
        </w:tc>
        <w:tc>
          <w:tcPr>
            <w:tcW w:type="dxa" w:w="1080"/>
          </w:tcPr>
          <w:p>
            <w:r>
              <w:rPr>
                <w:rFonts w:ascii="Calibri" w:hAnsi="Calibri"/>
                <w:sz w:val="22"/>
              </w:rPr>
              <w:t>Flat</w:t>
            </w:r>
          </w:p>
        </w:tc>
        <w:tc>
          <w:tcPr>
            <w:tcW w:type="dxa" w:w="1080"/>
          </w:tcPr>
          <w:p>
            <w:r>
              <w:rPr>
                <w:rFonts w:ascii="Calibri" w:hAnsi="Calibri"/>
                <w:sz w:val="22"/>
              </w:rPr>
              <w:t>~Double-digit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Adj. EPS — FY 2027</w:t>
            </w:r>
          </w:p>
        </w:tc>
        <w:tc>
          <w:tcPr>
            <w:tcW w:type="dxa" w:w="1080"/>
          </w:tcPr>
          <w:p>
            <w:r>
              <w:rPr>
                <w:rFonts w:ascii="Calibri" w:hAnsi="Calibri"/>
                <w:sz w:val="22"/>
              </w:rPr>
              <w:t>$19.97</w:t>
            </w:r>
          </w:p>
        </w:tc>
        <w:tc>
          <w:tcPr>
            <w:tcW w:type="dxa" w:w="1080"/>
          </w:tcPr>
          <w:p>
            <w:r>
              <w:rPr>
                <w:rFonts w:ascii="Calibri" w:hAnsi="Calibri"/>
                <w:sz w:val="22"/>
              </w:rPr>
              <w:t>$19.91</w:t>
            </w:r>
          </w:p>
        </w:tc>
        <w:tc>
          <w:tcPr>
            <w:tcW w:type="dxa" w:w="1080"/>
          </w:tcPr>
          <w:p>
            <w:r>
              <w:rPr>
                <w:rFonts w:ascii="Calibri" w:hAnsi="Calibri"/>
                <w:sz w:val="22"/>
              </w:rPr>
              <w:t>-0.3%</w:t>
            </w:r>
          </w:p>
        </w:tc>
        <w:tc>
          <w:tcPr>
            <w:tcW w:type="dxa" w:w="1080"/>
          </w:tcPr>
          <w:p>
            <w:r>
              <w:rPr>
                <w:rFonts w:ascii="Calibri" w:hAnsi="Calibri"/>
                <w:sz w:val="22"/>
              </w:rPr>
              <w:t>N/A (no FY27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May 5, 2026 (5 trading days after April 30 earnings). Current consensus as of July 27, 2026.</w:t>
      </w:r>
    </w:p>
    <w:p>
      <w:r>
        <w:rPr>
          <w:rFonts w:ascii="Calibri" w:hAnsi="Calibri"/>
          <w:color w:val="525866"/>
          <w:sz w:val="22"/>
        </w:rPr>
        <w:t>The remarkable stability of estimates since the April 30 print — Q2 EPS up just $0.04, FY EPS essentially flat — reflects the Street's acceptance of management's guidance framework rather than any incremental information. The slight drift lower in FY net yield CC growth consensus (+2.04% → +1.80%) suggests the Street is modestly more cautious on the yield recovery trajectory than management's guidance midpoint implies, creating a small cushion if Mediterranean yields recover faster than feared. The FY 2027 EPS consensus of ~$19.91 implies ~15% growth from the FY 2026 midpoint, consistent with the Perfecta program's 20% CAGR target (which is measured from a 2023 base).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RCL has outperformed both NCLH (+16% vs. +10%) and CCL (+16% vs. +2%) since the April 30 earnings date, driven by a combination of multiple re-rating from the post-Q1 lows and the broader cruise sector recovery as geopolitical fears eased in June; the stock's underperformance vs. its 2025 highs suggests the re-rating is not yet complete.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RCL vs. NCLH vs. CCL — Indexed Price Performance Since Q1 2026 Earnings (April 30, 2026). Base = 100. RCL: +15.7%, NCLH: +10.2%, CCL: +2.3% through July 28, 2026. Source: Stock Price Data.</w:t>
      </w:r>
    </w:p>
    <w:p>
      <w:r>
        <w:rPr>
          <w:rFonts w:ascii="Calibri" w:hAnsi="Calibri"/>
          <w:b/>
          <w:color w:val="525866"/>
          <w:sz w:val="22"/>
        </w:rPr>
        <w:t>Performance Summary (April 30 →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Ticker</w:t>
            </w:r>
          </w:p>
        </w:tc>
        <w:tc>
          <w:tcPr>
            <w:tcW w:type="dxa" w:w="2160"/>
            <w:shd w:val="clear" w:color="auto" w:fill="3B4259"/>
          </w:tcPr>
          <w:p>
            <w:r>
              <w:rPr>
                <w:rFonts w:ascii="Calibri" w:hAnsi="Calibri"/>
                <w:b/>
                <w:color w:val="FFFFFF"/>
                <w:sz w:val="22"/>
              </w:rPr>
              <w:t>Apr 30 Close</w:t>
            </w:r>
          </w:p>
        </w:tc>
        <w:tc>
          <w:tcPr>
            <w:tcW w:type="dxa" w:w="2160"/>
            <w:shd w:val="clear" w:color="auto" w:fill="3B4259"/>
          </w:tcPr>
          <w:p>
            <w:r>
              <w:rPr>
                <w:rFonts w:ascii="Calibri" w:hAnsi="Calibri"/>
                <w:b/>
                <w:color w:val="FFFFFF"/>
                <w:sz w:val="22"/>
              </w:rPr>
              <w:t>Jul 28 Close</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RCL</w:t>
            </w:r>
          </w:p>
        </w:tc>
        <w:tc>
          <w:tcPr>
            <w:tcW w:type="dxa" w:w="2160"/>
          </w:tcPr>
          <w:p>
            <w:r>
              <w:rPr>
                <w:rFonts w:ascii="Calibri" w:hAnsi="Calibri"/>
                <w:sz w:val="22"/>
              </w:rPr>
              <w:t>$263.76</w:t>
            </w:r>
          </w:p>
        </w:tc>
        <w:tc>
          <w:tcPr>
            <w:tcW w:type="dxa" w:w="2160"/>
          </w:tcPr>
          <w:p>
            <w:r>
              <w:rPr>
                <w:rFonts w:ascii="Calibri" w:hAnsi="Calibri"/>
                <w:sz w:val="22"/>
              </w:rPr>
              <w:t>$305.04</w:t>
            </w:r>
          </w:p>
        </w:tc>
        <w:tc>
          <w:tcPr>
            <w:tcW w:type="dxa" w:w="2160"/>
          </w:tcPr>
          <w:p>
            <w:r>
              <w:rPr>
                <w:rFonts w:ascii="Calibri" w:hAnsi="Calibri"/>
                <w:b/>
                <w:color w:val="30A46C"/>
                <w:sz w:val="22"/>
              </w:rPr>
              <w:t>+15.7%</w:t>
            </w:r>
          </w:p>
        </w:tc>
      </w:tr>
      <w:tr>
        <w:tc>
          <w:tcPr>
            <w:tcW w:type="dxa" w:w="2160"/>
          </w:tcPr>
          <w:p>
            <w:r>
              <w:rPr>
                <w:rFonts w:ascii="Calibri" w:hAnsi="Calibri"/>
                <w:sz w:val="22"/>
              </w:rPr>
              <w:t>NCLH</w:t>
            </w:r>
          </w:p>
        </w:tc>
        <w:tc>
          <w:tcPr>
            <w:tcW w:type="dxa" w:w="2160"/>
          </w:tcPr>
          <w:p>
            <w:r>
              <w:rPr>
                <w:rFonts w:ascii="Calibri" w:hAnsi="Calibri"/>
                <w:sz w:val="22"/>
              </w:rPr>
              <w:t>$18.18</w:t>
            </w:r>
          </w:p>
        </w:tc>
        <w:tc>
          <w:tcPr>
            <w:tcW w:type="dxa" w:w="2160"/>
          </w:tcPr>
          <w:p>
            <w:r>
              <w:rPr>
                <w:rFonts w:ascii="Calibri" w:hAnsi="Calibri"/>
                <w:sz w:val="22"/>
              </w:rPr>
              <w:t>$20.03</w:t>
            </w:r>
          </w:p>
        </w:tc>
        <w:tc>
          <w:tcPr>
            <w:tcW w:type="dxa" w:w="2160"/>
          </w:tcPr>
          <w:p>
            <w:r>
              <w:rPr>
                <w:rFonts w:ascii="Calibri" w:hAnsi="Calibri"/>
                <w:sz w:val="22"/>
              </w:rPr>
              <w:t>+10.2%</w:t>
            </w:r>
          </w:p>
        </w:tc>
      </w:tr>
      <w:tr>
        <w:tc>
          <w:tcPr>
            <w:tcW w:type="dxa" w:w="2160"/>
          </w:tcPr>
          <w:p>
            <w:r>
              <w:rPr>
                <w:rFonts w:ascii="Calibri" w:hAnsi="Calibri"/>
                <w:sz w:val="22"/>
              </w:rPr>
              <w:t>CCL</w:t>
            </w:r>
          </w:p>
        </w:tc>
        <w:tc>
          <w:tcPr>
            <w:tcW w:type="dxa" w:w="2160"/>
          </w:tcPr>
          <w:p>
            <w:r>
              <w:rPr>
                <w:rFonts w:ascii="Calibri" w:hAnsi="Calibri"/>
                <w:sz w:val="22"/>
              </w:rPr>
              <w:t>$26.51</w:t>
            </w:r>
          </w:p>
        </w:tc>
        <w:tc>
          <w:tcPr>
            <w:tcW w:type="dxa" w:w="2160"/>
          </w:tcPr>
          <w:p>
            <w:r>
              <w:rPr>
                <w:rFonts w:ascii="Calibri" w:hAnsi="Calibri"/>
                <w:sz w:val="22"/>
              </w:rPr>
              <w:t>$27.12</w:t>
            </w:r>
          </w:p>
        </w:tc>
        <w:tc>
          <w:tcPr>
            <w:tcW w:type="dxa" w:w="2160"/>
          </w:tcPr>
          <w:p>
            <w:r>
              <w:rPr>
                <w:rFonts w:ascii="Calibri" w:hAnsi="Calibri"/>
                <w:b/>
                <w:color w:val="E5484D"/>
                <w:sz w:val="22"/>
              </w:rPr>
              <w:t>+2.3%</w:t>
            </w:r>
          </w:p>
        </w:tc>
      </w:tr>
    </w:tbl>
    <w:p>
      <w:r>
        <w:rPr>
          <w:rFonts w:ascii="Calibri" w:hAnsi="Calibri"/>
          <w:b/>
          <w:color w:val="525866"/>
          <w:sz w:val="22"/>
        </w:rPr>
        <w:t>Key Events Since April 30:</w:t>
      </w:r>
    </w:p>
    <w:p>
      <w:pPr>
        <w:pStyle w:val="ListBullet"/>
        <w:ind w:left="360" w:hanging="360"/>
      </w:pPr>
      <w:r>
        <w:rPr>
          <w:rFonts w:ascii="Calibri" w:hAnsi="Calibri"/>
          <w:b/>
          <w:color w:val="525866"/>
          <w:sz w:val="22"/>
        </w:rPr>
        <w:t>April 30:</w:t>
      </w:r>
      <w:r>
        <w:rPr>
          <w:rFonts w:ascii="Calibri" w:hAnsi="Calibri"/>
          <w:color w:val="525866"/>
          <w:sz w:val="22"/>
        </w:rPr>
        <w:t xml:space="preserve"> Q1 2026 earnings beat (+12% EPS surprise); stock +3.7% on the day. Full-year guidance cut from $17.70–$18.10 to $17.10–$17.50 due to fuel and geopolitical headwinds.</w:t>
      </w:r>
    </w:p>
    <w:p>
      <w:pPr>
        <w:pStyle w:val="ListBullet"/>
        <w:ind w:left="360" w:hanging="360"/>
      </w:pPr>
      <w:r>
        <w:rPr>
          <w:rFonts w:ascii="Calibri" w:hAnsi="Calibri"/>
          <w:b/>
          <w:color w:val="525866"/>
          <w:sz w:val="22"/>
        </w:rPr>
        <w:t>May 6:</w:t>
      </w:r>
      <w:r>
        <w:rPr>
          <w:rFonts w:ascii="Calibri" w:hAnsi="Calibri"/>
          <w:color w:val="525866"/>
          <w:sz w:val="22"/>
        </w:rPr>
        <w:t xml:space="preserve"> Broad market rally (US-China trade truce) lifted cruise stocks; RCL +8.8% in a single session.</w:t>
      </w:r>
    </w:p>
    <w:p>
      <w:pPr>
        <w:pStyle w:val="ListBullet"/>
        <w:ind w:left="360" w:hanging="360"/>
      </w:pPr>
      <w:r>
        <w:rPr>
          <w:rFonts w:ascii="Calibri" w:hAnsi="Calibri"/>
          <w:b/>
          <w:color w:val="525866"/>
          <w:sz w:val="22"/>
        </w:rPr>
        <w:t>May 19:</w:t>
      </w:r>
      <w:r>
        <w:rPr>
          <w:rFonts w:ascii="Calibri" w:hAnsi="Calibri"/>
          <w:color w:val="525866"/>
          <w:sz w:val="22"/>
        </w:rPr>
        <w:t xml:space="preserve"> RCL hit a post-earnings trough of ~$247 as geopolitical concerns and macro uncertainty weighed.</w:t>
      </w:r>
    </w:p>
    <w:p>
      <w:pPr>
        <w:pStyle w:val="ListBullet"/>
        <w:ind w:left="360" w:hanging="360"/>
      </w:pPr>
      <w:r>
        <w:rPr>
          <w:rFonts w:ascii="Calibri" w:hAnsi="Calibri"/>
          <w:b/>
          <w:color w:val="525866"/>
          <w:sz w:val="22"/>
        </w:rPr>
        <w:t>June 11–15:</w:t>
      </w:r>
      <w:r>
        <w:rPr>
          <w:rFonts w:ascii="Calibri" w:hAnsi="Calibri"/>
          <w:color w:val="525866"/>
          <w:sz w:val="22"/>
        </w:rPr>
        <w:t xml:space="preserve"> Significant re-rating as Middle East ceasefire/MOU signals emerged; RCL surged from ~$288 to ~$314 (+9%) over the week.</w:t>
      </w:r>
    </w:p>
    <w:p>
      <w:pPr>
        <w:pStyle w:val="ListBullet"/>
        <w:ind w:left="360" w:hanging="360"/>
      </w:pPr>
      <w:r>
        <w:rPr>
          <w:rFonts w:ascii="Calibri" w:hAnsi="Calibri"/>
          <w:b/>
          <w:color w:val="525866"/>
          <w:sz w:val="22"/>
        </w:rPr>
        <w:t>June 23:</w:t>
      </w:r>
      <w:r>
        <w:rPr>
          <w:rFonts w:ascii="Calibri" w:hAnsi="Calibri"/>
          <w:color w:val="525866"/>
          <w:sz w:val="22"/>
        </w:rPr>
        <w:t xml:space="preserve"> Carnival (CCL) reported record Q2 revenues and yields, confirming resilient close-in demand despite geopolitical headwinds — strong read-through for RCL.</w:t>
      </w:r>
    </w:p>
    <w:p>
      <w:pPr>
        <w:pStyle w:val="ListBullet"/>
        <w:ind w:left="360" w:hanging="360"/>
      </w:pPr>
      <w:r>
        <w:rPr>
          <w:rFonts w:ascii="Calibri" w:hAnsi="Calibri"/>
          <w:b/>
          <w:color w:val="525866"/>
          <w:sz w:val="22"/>
        </w:rPr>
        <w:t>June 24:</w:t>
      </w:r>
      <w:r>
        <w:rPr>
          <w:rFonts w:ascii="Calibri" w:hAnsi="Calibri"/>
          <w:color w:val="525866"/>
          <w:sz w:val="22"/>
        </w:rPr>
        <w:t xml:space="preserve"> RCL hit a post-earnings high of ~$321 following CCL's strong print.</w:t>
      </w:r>
    </w:p>
    <w:p>
      <w:pPr>
        <w:pStyle w:val="ListBullet"/>
        <w:ind w:left="360" w:hanging="360"/>
      </w:pPr>
      <w:r>
        <w:rPr>
          <w:rFonts w:ascii="Calibri" w:hAnsi="Calibri"/>
          <w:b/>
          <w:color w:val="525866"/>
          <w:sz w:val="22"/>
        </w:rPr>
        <w:t>July 1–July 8:</w:t>
      </w:r>
      <w:r>
        <w:rPr>
          <w:rFonts w:ascii="Calibri" w:hAnsi="Calibri"/>
          <w:color w:val="525866"/>
          <w:sz w:val="22"/>
        </w:rPr>
        <w:t xml:space="preserve"> Pullback from highs (~$321 → ~$281) as macro uncertainty and profit-taking weighed.</w:t>
      </w:r>
    </w:p>
    <w:p>
      <w:pPr>
        <w:pStyle w:val="ListBullet"/>
        <w:ind w:left="360" w:hanging="360"/>
      </w:pPr>
      <w:r>
        <w:rPr>
          <w:rFonts w:ascii="Calibri" w:hAnsi="Calibri"/>
          <w:b/>
          <w:color w:val="525866"/>
          <w:sz w:val="22"/>
        </w:rPr>
        <w:t>July 20:</w:t>
      </w:r>
      <w:r>
        <w:rPr>
          <w:rFonts w:ascii="Calibri" w:hAnsi="Calibri"/>
          <w:color w:val="525866"/>
          <w:sz w:val="22"/>
        </w:rPr>
        <w:t xml:space="preserve"> Board appointment of Tara Bunch (former Airbnb/Apple executive); no material stock impact.</w:t>
      </w:r>
    </w:p>
    <w:p>
      <w:pPr>
        <w:pStyle w:val="ListBullet"/>
        <w:ind w:left="360" w:hanging="360"/>
      </w:pPr>
      <w:r>
        <w:rPr>
          <w:rFonts w:ascii="Calibri" w:hAnsi="Calibri"/>
          <w:b/>
          <w:color w:val="525866"/>
          <w:sz w:val="22"/>
        </w:rPr>
        <w:t>July 28:</w:t>
      </w:r>
      <w:r>
        <w:rPr>
          <w:rFonts w:ascii="Calibri" w:hAnsi="Calibri"/>
          <w:color w:val="525866"/>
          <w:sz w:val="22"/>
        </w:rPr>
        <w:t xml:space="preserve"> Stock at $305.04 ahead of Q2 earnings, up ~16% from April 30 close.</w:t>
      </w:r>
    </w:p>
    <w:p>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Read-Through for RCL Q2 2026</w:t>
      </w:r>
    </w:p>
    <w:p>
      <w:r>
        <w:rPr>
          <w:rFonts w:ascii="Calibri" w:hAnsi="Calibri"/>
          <w:b/>
          <w:color w:val="525866"/>
          <w:sz w:val="22"/>
        </w:rPr>
        <w:t xml:space="preserve">Key Takeaway: </w:t>
      </w:r>
      <w:r>
        <w:rPr>
          <w:rFonts w:ascii="Calibri" w:hAnsi="Calibri"/>
          <w:color w:val="525866"/>
          <w:sz w:val="22"/>
        </w:rPr>
        <w:t>Carnival's June quarter (reported June 23) is the most important read-through: record yields for the 12th consecutive quarter, resilient close-in demand, and a booked position ahead of last year at record prices for H2 2026 all point to a constructive setup for RCL. NCLH's Q1 commentary (reported May 4) is a cautionary contrast — its company-specific execution issues and greater European exposure make it a less clean read-through, but its commentary on elevated European cancellations and Alaska softness is relevant context.</w:t>
      </w:r>
    </w:p>
    <w:p>
      <w:r>
        <w:rPr>
          <w:rFonts w:ascii="Calibri" w:hAnsi="Calibri"/>
          <w:i/>
          <w:color w:val="525866"/>
          <w:sz w:val="22"/>
        </w:rPr>
        <w:t>Note: Only commentary from peers' Q1 2026 earnings calls (reporting on Q2 2026 outlook) and Carnival's Q2 2026 earnings call (reporting on the current quarter) are included. Prior-quarter results commentary is excluded.</w:t>
      </w:r>
    </w:p>
    <w:p>
      <w:pPr>
        <w:pStyle w:val="Heading3"/>
      </w:pPr>
      <w:r>
        <w:rPr>
          <w:rFonts w:ascii="Calibri" w:hAnsi="Calibri"/>
          <w:b/>
          <w:color w:val="3B4259"/>
          <w:sz w:val="24"/>
        </w:rPr>
        <w:t>Carnival Corporation (CCL) — Q2 2026 Earnings Call (June 23, 2026)</w:t>
      </w:r>
    </w:p>
    <w:p>
      <w:r>
        <w:rPr>
          <w:rFonts w:ascii="Calibri" w:hAnsi="Calibri"/>
          <w:b/>
          <w:color w:val="525866"/>
          <w:sz w:val="22"/>
        </w:rPr>
        <w:t xml:space="preserve">Relevance: </w:t>
      </w:r>
      <w:r>
        <w:rPr>
          <w:rFonts w:ascii="Calibri" w:hAnsi="Calibri"/>
          <w:color w:val="525866"/>
          <w:sz w:val="22"/>
        </w:rPr>
        <w:t>CCL reported its Q2 2026 results on June 23, covering the same calendar quarter as RCL's upcoming print. This is the highest-quality read-through available.</w:t>
      </w:r>
    </w:p>
    <w:p>
      <w:pPr>
        <w:pStyle w:val="Heading4"/>
      </w:pPr>
      <w:r>
        <w:rPr>
          <w:rFonts w:ascii="Calibri" w:hAnsi="Calibri"/>
          <w:b/>
          <w:color w:val="3B4259"/>
          <w:sz w:val="22"/>
        </w:rPr>
        <w:t>Demand &amp; Yields — Constructive Read-Through</w:t>
      </w:r>
    </w:p>
    <w:p>
      <w:pPr>
        <w:pStyle w:val="ListBullet"/>
        <w:ind w:left="360" w:hanging="360"/>
      </w:pPr>
      <w:r>
        <w:rPr>
          <w:rFonts w:ascii="Calibri" w:hAnsi="Calibri"/>
          <w:b/>
          <w:color w:val="525866"/>
          <w:sz w:val="22"/>
        </w:rPr>
        <w:t>Record yields for the 12th consecutive quarter:</w:t>
      </w:r>
      <w:r>
        <w:rPr>
          <w:rFonts w:ascii="Calibri" w:hAnsi="Calibri"/>
          <w:color w:val="525866"/>
          <w:sz w:val="22"/>
        </w:rPr>
        <w:t xml:space="preserve"> CCL reported Q2 2026 net yields up +2.2% YoY, beating its own March guidance, driven by 'resilient close-in demand and robust onboard spending.' This is a direct positive read-through for RCL's Q2 yield performance, which was guided at just +0.2% CC.</w:t>
      </w:r>
    </w:p>
    <w:p>
      <w:pPr>
        <w:pStyle w:val="ListBullet"/>
        <w:ind w:left="360" w:hanging="360"/>
      </w:pPr>
      <w:r>
        <w:rPr>
          <w:rFonts w:ascii="Calibri" w:hAnsi="Calibri"/>
          <w:b/>
          <w:color w:val="525866"/>
          <w:sz w:val="22"/>
        </w:rPr>
        <w:t>H2 2026 booked position ahead of last year at record prices:</w:t>
      </w:r>
      <w:r>
        <w:rPr>
          <w:rFonts w:ascii="Calibri" w:hAnsi="Calibri"/>
          <w:color w:val="525866"/>
          <w:sz w:val="22"/>
        </w:rPr>
        <w:t xml:space="preserve"> 'Our booked position remains ahead of last year as we begin the third quarter at record prices in each of the remaining quarters of this year, with 93% of the business on our books and less inventory remaining for sale than last year.' This supports RCL's 'smiley face' yield cadence with a strong Q4 recovery.</w:t>
      </w:r>
    </w:p>
    <w:p>
      <w:pPr>
        <w:pStyle w:val="ListBullet"/>
        <w:ind w:left="360" w:hanging="360"/>
      </w:pPr>
      <w:r>
        <w:rPr>
          <w:rFonts w:ascii="Calibri" w:hAnsi="Calibri"/>
          <w:b/>
          <w:color w:val="525866"/>
          <w:sz w:val="22"/>
        </w:rPr>
        <w:t>2027 bookings at historical highs:</w:t>
      </w:r>
      <w:r>
        <w:rPr>
          <w:rFonts w:ascii="Calibri" w:hAnsi="Calibri"/>
          <w:color w:val="525866"/>
          <w:sz w:val="22"/>
        </w:rPr>
        <w:t xml:space="preserve"> 'Our book position for 2027 is at historical highs for price and occupancy,' with European deployments for 2027 up mid-teens YoY at higher prices. Directly validates RCL's assertion that geopolitical disruption is not impacting 2027 booking behavior.</w:t>
      </w:r>
    </w:p>
    <w:p>
      <w:pPr>
        <w:pStyle w:val="ListBullet"/>
        <w:ind w:left="360" w:hanging="360"/>
      </w:pPr>
      <w:r>
        <w:rPr>
          <w:rFonts w:ascii="Calibri" w:hAnsi="Calibri"/>
          <w:b/>
          <w:color w:val="525866"/>
          <w:sz w:val="22"/>
        </w:rPr>
        <w:t>Caribbean resilience:</w:t>
      </w:r>
      <w:r>
        <w:rPr>
          <w:rFonts w:ascii="Calibri" w:hAnsi="Calibri"/>
          <w:color w:val="525866"/>
          <w:sz w:val="22"/>
        </w:rPr>
        <w:t xml:space="preserve"> 'The actual booking trajectory of the Caribbean didn't take much of a movement' during the period of geopolitical volatility. Positive for RCL, which has 57% of 2026 deployment in the Caribbean.</w:t>
      </w:r>
    </w:p>
    <w:p>
      <w:pPr>
        <w:pStyle w:val="ListBullet"/>
        <w:ind w:left="360" w:hanging="360"/>
      </w:pPr>
      <w:r>
        <w:rPr>
          <w:rFonts w:ascii="Calibri" w:hAnsi="Calibri"/>
          <w:b/>
          <w:color w:val="525866"/>
          <w:sz w:val="22"/>
        </w:rPr>
        <w:t>June turning the corner:</w:t>
      </w:r>
      <w:r>
        <w:rPr>
          <w:rFonts w:ascii="Calibri" w:hAnsi="Calibri"/>
          <w:color w:val="525866"/>
          <w:sz w:val="22"/>
        </w:rPr>
        <w:t xml:space="preserve"> 'June certainly seems to have turned a corner. And last week was a nice cherry on top as we got the MOU signed and people started thinking about, okay, I can start planning my life again.' Supports RCL's April 30 assertion that Mediterranean bookings had already recovered.</w:t>
      </w:r>
    </w:p>
    <w:p>
      <w:pPr>
        <w:pStyle w:val="Heading4"/>
      </w:pPr>
      <w:r>
        <w:rPr>
          <w:rFonts w:ascii="Calibri" w:hAnsi="Calibri"/>
          <w:b/>
          <w:color w:val="3B4259"/>
          <w:sz w:val="22"/>
        </w:rPr>
        <w:t>Geopolitical Headwinds — Transitory, Not Structural</w:t>
      </w:r>
    </w:p>
    <w:p>
      <w:pPr>
        <w:pStyle w:val="ListBullet"/>
        <w:ind w:left="360" w:hanging="360"/>
      </w:pPr>
      <w:r>
        <w:rPr>
          <w:rFonts w:ascii="Calibri" w:hAnsi="Calibri"/>
          <w:b/>
          <w:color w:val="525866"/>
          <w:sz w:val="22"/>
        </w:rPr>
        <w:t>Mediterranean/European pressure concentrated in Q2:</w:t>
      </w:r>
      <w:r>
        <w:rPr>
          <w:rFonts w:ascii="Calibri" w:hAnsi="Calibri"/>
          <w:color w:val="525866"/>
          <w:sz w:val="22"/>
        </w:rPr>
        <w:t xml:space="preserve"> 'This moderation was concentrated on our European deployments, particularly in the Med region, which were closest to the conflict, and it was further exacerbated by elevated airfares and reduced international flight capacity for North American guests.' CCL took occupancy expectations down 'a couple of points for Europe' for Q3 but expects 'positive yields for European deployments as we move forward.'</w:t>
      </w:r>
    </w:p>
    <w:p>
      <w:pPr>
        <w:pStyle w:val="ListBullet"/>
        <w:ind w:left="360" w:hanging="360"/>
      </w:pPr>
      <w:r>
        <w:rPr>
          <w:rFonts w:ascii="Calibri" w:hAnsi="Calibri"/>
          <w:b/>
          <w:color w:val="525866"/>
          <w:sz w:val="22"/>
        </w:rPr>
        <w:t>Yield growth revised ~1pp for geopolitical impact:</w:t>
      </w:r>
      <w:r>
        <w:rPr>
          <w:rFonts w:ascii="Calibri" w:hAnsi="Calibri"/>
          <w:color w:val="525866"/>
          <w:sz w:val="22"/>
        </w:rPr>
        <w:t xml:space="preserve"> 'Yield growth was revised by approximately one percentage point relative to our previous guidance, and represents a 14 cent per share operational knock-on impact of the extreme geopolitical volatility.' This is consistent with RCL's ~200 bps yield headwind in Q2.</w:t>
      </w:r>
    </w:p>
    <w:p>
      <w:pPr>
        <w:pStyle w:val="ListBullet"/>
        <w:ind w:left="360" w:hanging="360"/>
      </w:pPr>
      <w:r>
        <w:rPr>
          <w:rFonts w:ascii="Calibri" w:hAnsi="Calibri"/>
          <w:b/>
          <w:color w:val="525866"/>
          <w:sz w:val="22"/>
        </w:rPr>
        <w:t>Moderation is transitory:</w:t>
      </w:r>
      <w:r>
        <w:rPr>
          <w:rFonts w:ascii="Calibri" w:hAnsi="Calibri"/>
          <w:color w:val="525866"/>
          <w:sz w:val="22"/>
        </w:rPr>
        <w:t xml:space="preserve"> 'The key takeaway here is that this moderation is already proving to be transitory, and is not something that alters the underlying trajectory of the company.' Directly validates RCL management's framing.</w:t>
      </w:r>
    </w:p>
    <w:p>
      <w:pPr>
        <w:pStyle w:val="ListBullet"/>
        <w:ind w:left="360" w:hanging="360"/>
      </w:pPr>
      <w:r>
        <w:rPr>
          <w:rFonts w:ascii="Calibri" w:hAnsi="Calibri"/>
          <w:b/>
          <w:color w:val="525866"/>
          <w:sz w:val="22"/>
        </w:rPr>
        <w:t>Cost offset:</w:t>
      </w:r>
      <w:r>
        <w:rPr>
          <w:rFonts w:ascii="Calibri" w:hAnsi="Calibri"/>
          <w:color w:val="525866"/>
          <w:sz w:val="22"/>
        </w:rPr>
        <w:t xml:space="preserve"> 'While the conflict in the Middle East resulted in a yield growth revision by approximately one percentage point relative to our prior guidance, our intensified focus on cost management generated an offsetting one percentage point improvement in cruise costs without fuel.' Suggests RCL may also have found cost offsets to the yield headwind.</w:t>
      </w:r>
    </w:p>
    <w:p>
      <w:pPr>
        <w:pStyle w:val="Heading4"/>
      </w:pPr>
      <w:r>
        <w:rPr>
          <w:rFonts w:ascii="Calibri" w:hAnsi="Calibri"/>
          <w:b/>
          <w:color w:val="3B4259"/>
          <w:sz w:val="22"/>
        </w:rPr>
        <w:t>Cost Discipline — Positive Read-Through</w:t>
      </w:r>
    </w:p>
    <w:p>
      <w:pPr>
        <w:pStyle w:val="ListBullet"/>
        <w:ind w:left="360" w:hanging="360"/>
      </w:pPr>
      <w:r>
        <w:rPr>
          <w:rFonts w:ascii="Calibri" w:hAnsi="Calibri"/>
          <w:b/>
          <w:color w:val="525866"/>
          <w:sz w:val="22"/>
        </w:rPr>
        <w:t>Flat unit costs in Q2:</w:t>
      </w:r>
      <w:r>
        <w:rPr>
          <w:rFonts w:ascii="Calibri" w:hAnsi="Calibri"/>
          <w:color w:val="525866"/>
          <w:sz w:val="22"/>
        </w:rPr>
        <w:t xml:space="preserve"> CCL delivered 'flat unit operating costs' in Q2, outperforming cost guidance by 250 bps. Fuel efficiency improved &gt;5%. Structural cost savings of $0.06/share flowing through to full-year guidance. Positive read-through for RCL's cost discipline narrative.</w:t>
      </w:r>
    </w:p>
    <w:p>
      <w:pPr>
        <w:pStyle w:val="ListBullet"/>
        <w:ind w:left="360" w:hanging="360"/>
      </w:pPr>
      <w:r>
        <w:rPr>
          <w:rFonts w:ascii="Calibri" w:hAnsi="Calibri"/>
          <w:b/>
          <w:color w:val="525866"/>
          <w:sz w:val="22"/>
        </w:rPr>
        <w:t>Full-year cost guidance:</w:t>
      </w:r>
      <w:r>
        <w:rPr>
          <w:rFonts w:ascii="Calibri" w:hAnsi="Calibri"/>
          <w:color w:val="525866"/>
          <w:sz w:val="22"/>
        </w:rPr>
        <w:t xml:space="preserve"> Cruise costs without fuel per LBD expected up ~1.3% normalized for the full year, including the $0.06/share savings. Consistent with RCL's 'approximately flat or 50 bps better' full-year NCC ex-fuel guidance.</w:t>
      </w:r>
    </w:p>
    <w:p>
      <w:pPr>
        <w:pStyle w:val="Heading3"/>
      </w:pPr>
      <w:r>
        <w:rPr>
          <w:rFonts w:ascii="Calibri" w:hAnsi="Calibri"/>
          <w:b/>
          <w:color w:val="3B4259"/>
          <w:sz w:val="24"/>
        </w:rPr>
        <w:t>Norwegian Cruise Line Holdings (NCLH) — Q1 2026 Earnings Call (May 4, 2026)</w:t>
      </w:r>
    </w:p>
    <w:p>
      <w:r>
        <w:rPr>
          <w:rFonts w:ascii="Calibri" w:hAnsi="Calibri"/>
          <w:b/>
          <w:color w:val="525866"/>
          <w:sz w:val="22"/>
        </w:rPr>
        <w:t xml:space="preserve">Relevance: </w:t>
      </w:r>
      <w:r>
        <w:rPr>
          <w:rFonts w:ascii="Calibri" w:hAnsi="Calibri"/>
          <w:color w:val="525866"/>
          <w:sz w:val="22"/>
        </w:rPr>
        <w:t>NCLH reported Q1 2026 on May 4, providing forward guidance for Q2 and H2 2026. This is a read-through for the industry backdrop, but NCLH's company-specific execution issues (marketing missteps, revenue management system transition, behind booking curve) make it a less clean signal for RCL. Read the macro/industry commentary; discount the company-specific weakness.</w:t>
      </w:r>
    </w:p>
    <w:p>
      <w:pPr>
        <w:pStyle w:val="Heading4"/>
      </w:pPr>
      <w:r>
        <w:rPr>
          <w:rFonts w:ascii="Calibri" w:hAnsi="Calibri"/>
          <w:b/>
          <w:color w:val="3B4259"/>
          <w:sz w:val="22"/>
        </w:rPr>
        <w:t>Demand &amp; Yields — Cautionary, But Company-Specific</w:t>
      </w:r>
    </w:p>
    <w:p>
      <w:pPr>
        <w:pStyle w:val="ListBullet"/>
        <w:ind w:left="360" w:hanging="360"/>
      </w:pPr>
      <w:r>
        <w:rPr>
          <w:rFonts w:ascii="Calibri" w:hAnsi="Calibri"/>
          <w:b/>
          <w:color w:val="525866"/>
          <w:sz w:val="22"/>
        </w:rPr>
        <w:t>Q2 2026 net yield decline of -3.6% guided:</w:t>
      </w:r>
      <w:r>
        <w:rPr>
          <w:rFonts w:ascii="Calibri" w:hAnsi="Calibri"/>
          <w:color w:val="525866"/>
          <w:sz w:val="22"/>
        </w:rPr>
        <w:t xml:space="preserve"> NCLH guided for a -3.6% net yield decline in Q2, driven by European pressure (26% of Q2 deployment) and 'weaker-than-anticipated domestic demand as consumers reevaluate travel plans in the current macroeconomic environment.' This is significantly worse than RCL's +0.2% CC guidance — but NCLH explicitly attributed much of the weakness to internal execution failures, not industry-wide demand deterioration.</w:t>
      </w:r>
    </w:p>
    <w:p>
      <w:pPr>
        <w:pStyle w:val="ListBullet"/>
        <w:ind w:left="360" w:hanging="360"/>
      </w:pPr>
      <w:r>
        <w:rPr>
          <w:rFonts w:ascii="Calibri" w:hAnsi="Calibri"/>
          <w:b/>
          <w:color w:val="525866"/>
          <w:sz w:val="22"/>
        </w:rPr>
        <w:t>Q3 expected 'significantly weaker' than Q2:</w:t>
      </w:r>
      <w:r>
        <w:rPr>
          <w:rFonts w:ascii="Calibri" w:hAnsi="Calibri"/>
          <w:color w:val="525866"/>
          <w:sz w:val="22"/>
        </w:rPr>
        <w:t xml:space="preserve"> NCLH flagged 'high single-digit negative yields' as a Q3 scenario, driven by 38% European exposure. This is a company-specific issue (NCLH has higher European concentration than RCL) and reflects NCLH's booking curve deficit, not industry demand.</w:t>
      </w:r>
    </w:p>
    <w:p>
      <w:pPr>
        <w:pStyle w:val="ListBullet"/>
        <w:ind w:left="360" w:hanging="360"/>
      </w:pPr>
      <w:r>
        <w:rPr>
          <w:rFonts w:ascii="Calibri" w:hAnsi="Calibri"/>
          <w:b/>
          <w:color w:val="525866"/>
          <w:sz w:val="22"/>
        </w:rPr>
        <w:t>Luxury brands resilient:</w:t>
      </w:r>
      <w:r>
        <w:rPr>
          <w:rFonts w:ascii="Calibri" w:hAnsi="Calibri"/>
          <w:color w:val="525866"/>
          <w:sz w:val="22"/>
        </w:rPr>
        <w:t xml:space="preserve"> NCLH noted its luxury brands (Regent and Oceania) are 'performing to expectations,' indicating a 'more resilient consumer' at the high end. Positive read-through for RCL's premium positioning.</w:t>
      </w:r>
    </w:p>
    <w:p>
      <w:pPr>
        <w:pStyle w:val="ListBullet"/>
        <w:ind w:left="360" w:hanging="360"/>
      </w:pPr>
      <w:r>
        <w:rPr>
          <w:rFonts w:ascii="Calibri" w:hAnsi="Calibri"/>
          <w:b/>
          <w:color w:val="525866"/>
          <w:sz w:val="22"/>
        </w:rPr>
        <w:t>Onboard spend healthy:</w:t>
      </w:r>
      <w:r>
        <w:rPr>
          <w:rFonts w:ascii="Calibri" w:hAnsi="Calibri"/>
          <w:color w:val="525866"/>
          <w:sz w:val="22"/>
        </w:rPr>
        <w:t xml:space="preserve"> 'Once we have our guests on the vessels, we're actually seeing healthy onboard spend.' Consistent with RCL's commentary on pre-cruise digital purchases and onboard revenue strength.</w:t>
      </w:r>
    </w:p>
    <w:p>
      <w:pPr>
        <w:pStyle w:val="Heading4"/>
      </w:pPr>
      <w:r>
        <w:rPr>
          <w:rFonts w:ascii="Calibri" w:hAnsi="Calibri"/>
          <w:b/>
          <w:color w:val="3B4259"/>
          <w:sz w:val="22"/>
        </w:rPr>
        <w:t>Geopolitical &amp; Macro Context — Industry-Level Read-Through</w:t>
      </w:r>
    </w:p>
    <w:p>
      <w:pPr>
        <w:pStyle w:val="ListBullet"/>
        <w:ind w:left="360" w:hanging="360"/>
      </w:pPr>
      <w:r>
        <w:rPr>
          <w:rFonts w:ascii="Calibri" w:hAnsi="Calibri"/>
          <w:b/>
          <w:color w:val="525866"/>
          <w:sz w:val="22"/>
        </w:rPr>
        <w:t>Elevated European cancellations:</w:t>
      </w:r>
      <w:r>
        <w:rPr>
          <w:rFonts w:ascii="Calibri" w:hAnsi="Calibri"/>
          <w:color w:val="525866"/>
          <w:sz w:val="22"/>
        </w:rPr>
        <w:t xml:space="preserve"> 'We've seen elevated cancellations in Europe across the board.' NCLH's greater European exposure (26% Q2, 38% Q3) amplified the impact vs. RCL (18% Q2). The magnitude of NCLH's European weakness is not directly comparable to RCL.</w:t>
      </w:r>
    </w:p>
    <w:p>
      <w:pPr>
        <w:pStyle w:val="ListBullet"/>
        <w:ind w:left="360" w:hanging="360"/>
      </w:pPr>
      <w:r>
        <w:rPr>
          <w:rFonts w:ascii="Calibri" w:hAnsi="Calibri"/>
          <w:b/>
          <w:color w:val="525866"/>
          <w:sz w:val="22"/>
        </w:rPr>
        <w:t>Alaska softness:</w:t>
      </w:r>
      <w:r>
        <w:rPr>
          <w:rFonts w:ascii="Calibri" w:hAnsi="Calibri"/>
          <w:color w:val="525866"/>
          <w:sz w:val="22"/>
        </w:rPr>
        <w:t xml:space="preserve"> NCLH flagged 'continued softness in markets such as Alaska.' RCL has 9% of Q2 capacity in Alaska — a modest but relevant headwind to monitor.</w:t>
      </w:r>
    </w:p>
    <w:p>
      <w:pPr>
        <w:pStyle w:val="ListBullet"/>
        <w:ind w:left="360" w:hanging="360"/>
      </w:pPr>
      <w:r>
        <w:rPr>
          <w:rFonts w:ascii="Calibri" w:hAnsi="Calibri"/>
          <w:b/>
          <w:color w:val="525866"/>
          <w:sz w:val="22"/>
        </w:rPr>
        <w:t>Middle East conflict 'outsized impact' on NCLH:</w:t>
      </w:r>
      <w:r>
        <w:rPr>
          <w:rFonts w:ascii="Calibri" w:hAnsi="Calibri"/>
          <w:color w:val="525866"/>
          <w:sz w:val="22"/>
        </w:rPr>
        <w:t xml:space="preserve"> NCLH explicitly stated the conflict has 'an outsized impact on us compared to our competitors, given how we came into the year' (behind booking curve). This is a company-specific amplifier, not an industry-wide signal.</w:t>
      </w:r>
    </w:p>
    <w:p>
      <w:pPr>
        <w:pStyle w:val="ListBullet"/>
        <w:ind w:left="360" w:hanging="360"/>
      </w:pPr>
      <w:r>
        <w:rPr>
          <w:rFonts w:ascii="Calibri" w:hAnsi="Calibri"/>
          <w:b/>
          <w:color w:val="525866"/>
          <w:sz w:val="22"/>
        </w:rPr>
        <w:t>2027 green shoots:</w:t>
      </w:r>
      <w:r>
        <w:rPr>
          <w:rFonts w:ascii="Calibri" w:hAnsi="Calibri"/>
          <w:color w:val="525866"/>
          <w:sz w:val="22"/>
        </w:rPr>
        <w:t xml:space="preserve"> NCLH expects 'green shoots in 2027' as booking curves normalize. Consistent with RCL's assertion that 2027 bookings for affected regions show no impact from 2026 geopolitical disruption.</w:t>
      </w:r>
    </w:p>
    <w:p>
      <w:pPr>
        <w:pStyle w:val="Heading4"/>
      </w:pPr>
      <w:r>
        <w:rPr>
          <w:rFonts w:ascii="Calibri" w:hAnsi="Calibri"/>
          <w:b/>
          <w:color w:val="3B4259"/>
          <w:sz w:val="22"/>
        </w:rPr>
        <w:t>Bottom Line: NCLH vs. RCL Read-Through Assessment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NCLH Signal</w:t>
            </w:r>
          </w:p>
        </w:tc>
        <w:tc>
          <w:tcPr>
            <w:tcW w:type="dxa" w:w="2880"/>
            <w:shd w:val="clear" w:color="auto" w:fill="3B4259"/>
          </w:tcPr>
          <w:p>
            <w:r>
              <w:rPr>
                <w:rFonts w:ascii="Calibri" w:hAnsi="Calibri"/>
                <w:b/>
                <w:color w:val="FFFFFF"/>
                <w:sz w:val="22"/>
              </w:rPr>
              <w:t>RCL Read-Through</w:t>
            </w:r>
          </w:p>
        </w:tc>
      </w:tr>
      <w:tr>
        <w:tc>
          <w:tcPr>
            <w:tcW w:type="dxa" w:w="2880"/>
          </w:tcPr>
          <w:p>
            <w:r>
              <w:rPr>
                <w:rFonts w:ascii="Calibri" w:hAnsi="Calibri"/>
                <w:sz w:val="22"/>
              </w:rPr>
              <w:t>Q2 Net Yields</w:t>
            </w:r>
          </w:p>
        </w:tc>
        <w:tc>
          <w:tcPr>
            <w:tcW w:type="dxa" w:w="2880"/>
          </w:tcPr>
          <w:p>
            <w:r>
              <w:rPr>
                <w:rFonts w:ascii="Calibri" w:hAnsi="Calibri"/>
                <w:sz w:val="22"/>
              </w:rPr>
              <w:t>-3.6% (company-specific execution + geo)</w:t>
            </w:r>
          </w:p>
        </w:tc>
        <w:tc>
          <w:tcPr>
            <w:tcW w:type="dxa" w:w="2880"/>
          </w:tcPr>
          <w:p>
            <w:r>
              <w:rPr>
                <w:rFonts w:ascii="Calibri" w:hAnsi="Calibri"/>
                <w:sz w:val="22"/>
              </w:rPr>
              <w:t>Discount — NCLH's weakness is largely self-inflicted; RCL guided +0.2% CC</w:t>
            </w:r>
          </w:p>
        </w:tc>
      </w:tr>
      <w:tr>
        <w:tc>
          <w:tcPr>
            <w:tcW w:type="dxa" w:w="2880"/>
          </w:tcPr>
          <w:p>
            <w:r>
              <w:rPr>
                <w:rFonts w:ascii="Calibri" w:hAnsi="Calibri"/>
                <w:sz w:val="22"/>
              </w:rPr>
              <w:t>European/Med Pressure</w:t>
            </w:r>
          </w:p>
        </w:tc>
        <w:tc>
          <w:tcPr>
            <w:tcW w:type="dxa" w:w="2880"/>
          </w:tcPr>
          <w:p>
            <w:r>
              <w:rPr>
                <w:rFonts w:ascii="Calibri" w:hAnsi="Calibri"/>
                <w:sz w:val="22"/>
              </w:rPr>
              <w:t>Elevated cancellations; 26% Q2 / 38% Q3 exposure</w:t>
            </w:r>
          </w:p>
        </w:tc>
        <w:tc>
          <w:tcPr>
            <w:tcW w:type="dxa" w:w="2880"/>
          </w:tcPr>
          <w:p>
            <w:r>
              <w:rPr>
                <w:rFonts w:ascii="Calibri" w:hAnsi="Calibri"/>
                <w:sz w:val="22"/>
              </w:rPr>
              <w:t>Relevant but smaller impact for RCL (18% Q2 Europe); RCL already turned corner per Apr 30</w:t>
            </w:r>
          </w:p>
        </w:tc>
      </w:tr>
      <w:tr>
        <w:tc>
          <w:tcPr>
            <w:tcW w:type="dxa" w:w="2880"/>
          </w:tcPr>
          <w:p>
            <w:r>
              <w:rPr>
                <w:rFonts w:ascii="Calibri" w:hAnsi="Calibri"/>
                <w:sz w:val="22"/>
              </w:rPr>
              <w:t>Alaska Softness</w:t>
            </w:r>
          </w:p>
        </w:tc>
        <w:tc>
          <w:tcPr>
            <w:tcW w:type="dxa" w:w="2880"/>
          </w:tcPr>
          <w:p>
            <w:r>
              <w:rPr>
                <w:rFonts w:ascii="Calibri" w:hAnsi="Calibri"/>
                <w:sz w:val="22"/>
              </w:rPr>
              <w:t>Continued softness flagged</w:t>
            </w:r>
          </w:p>
        </w:tc>
        <w:tc>
          <w:tcPr>
            <w:tcW w:type="dxa" w:w="2880"/>
          </w:tcPr>
          <w:p>
            <w:r>
              <w:rPr>
                <w:rFonts w:ascii="Calibri" w:hAnsi="Calibri"/>
                <w:sz w:val="22"/>
              </w:rPr>
              <w:t>Modest headwind; RCL has 9% Q2 capacity in Alaska</w:t>
            </w:r>
          </w:p>
        </w:tc>
      </w:tr>
      <w:tr>
        <w:tc>
          <w:tcPr>
            <w:tcW w:type="dxa" w:w="2880"/>
          </w:tcPr>
          <w:p>
            <w:r>
              <w:rPr>
                <w:rFonts w:ascii="Calibri" w:hAnsi="Calibri"/>
                <w:sz w:val="22"/>
              </w:rPr>
              <w:t>Onboard Spend</w:t>
            </w:r>
          </w:p>
        </w:tc>
        <w:tc>
          <w:tcPr>
            <w:tcW w:type="dxa" w:w="2880"/>
          </w:tcPr>
          <w:p>
            <w:r>
              <w:rPr>
                <w:rFonts w:ascii="Calibri" w:hAnsi="Calibri"/>
                <w:sz w:val="22"/>
              </w:rPr>
              <w:t>Healthy once guests on board</w:t>
            </w:r>
          </w:p>
        </w:tc>
        <w:tc>
          <w:tcPr>
            <w:tcW w:type="dxa" w:w="2880"/>
          </w:tcPr>
          <w:p>
            <w:r>
              <w:rPr>
                <w:rFonts w:ascii="Calibri" w:hAnsi="Calibri"/>
                <w:sz w:val="22"/>
              </w:rPr>
              <w:t>Positive — consistent with RCL's pre-cruise digital purchase acceleration</w:t>
            </w:r>
          </w:p>
        </w:tc>
      </w:tr>
      <w:tr>
        <w:tc>
          <w:tcPr>
            <w:tcW w:type="dxa" w:w="2880"/>
          </w:tcPr>
          <w:p>
            <w:r>
              <w:rPr>
                <w:rFonts w:ascii="Calibri" w:hAnsi="Calibri"/>
                <w:sz w:val="22"/>
              </w:rPr>
              <w:t>Luxury Consumer</w:t>
            </w:r>
          </w:p>
        </w:tc>
        <w:tc>
          <w:tcPr>
            <w:tcW w:type="dxa" w:w="2880"/>
          </w:tcPr>
          <w:p>
            <w:r>
              <w:rPr>
                <w:rFonts w:ascii="Calibri" w:hAnsi="Calibri"/>
                <w:sz w:val="22"/>
              </w:rPr>
              <w:t>Resilient (Regent/Oceania performing to expectations)</w:t>
            </w:r>
          </w:p>
        </w:tc>
        <w:tc>
          <w:tcPr>
            <w:tcW w:type="dxa" w:w="2880"/>
          </w:tcPr>
          <w:p>
            <w:r>
              <w:rPr>
                <w:rFonts w:ascii="Calibri" w:hAnsi="Calibri"/>
                <w:sz w:val="22"/>
              </w:rPr>
              <w:t>Positive — supports RCL's premium positioning and Silversea</w:t>
            </w:r>
          </w:p>
        </w:tc>
      </w:tr>
      <w:tr>
        <w:tc>
          <w:tcPr>
            <w:tcW w:type="dxa" w:w="2880"/>
          </w:tcPr>
          <w:p>
            <w:r>
              <w:rPr>
                <w:rFonts w:ascii="Calibri" w:hAnsi="Calibri"/>
                <w:sz w:val="22"/>
              </w:rPr>
              <w:t>2027 Outlook</w:t>
            </w:r>
          </w:p>
        </w:tc>
        <w:tc>
          <w:tcPr>
            <w:tcW w:type="dxa" w:w="2880"/>
          </w:tcPr>
          <w:p>
            <w:r>
              <w:rPr>
                <w:rFonts w:ascii="Calibri" w:hAnsi="Calibri"/>
                <w:sz w:val="22"/>
              </w:rPr>
              <w:t>Green shoots expected; booking curve normalization in progress</w:t>
            </w:r>
          </w:p>
        </w:tc>
        <w:tc>
          <w:tcPr>
            <w:tcW w:type="dxa" w:w="2880"/>
          </w:tcPr>
          <w:p>
            <w:r>
              <w:rPr>
                <w:rFonts w:ascii="Calibri" w:hAnsi="Calibri"/>
                <w:sz w:val="22"/>
              </w:rPr>
              <w:t>Positive — validates RCL's assertion that 2027 bookings unaffected</w:t>
            </w:r>
          </w:p>
        </w:tc>
      </w:tr>
    </w:tbl>
    <w:p>
      <w:r>
        <w:rPr>
          <w:rFonts w:ascii="Calibri" w:hAnsi="Calibri"/>
          <w:i/>
          <w:color w:val="525866"/>
          <w:sz w:val="22"/>
        </w:rPr>
        <w:t>Sources: Carnival Corporation Q2 2026 Earnings Call transcript (June 23, 2026); Norwegian Cruise Line Holdings Q1 2026 Earnings Call transcript (May 4,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April 30 is Carnival's June 23 record Q2 print, which validates RCL's demand thesis and suggests the geopolitical headwind to Mediterranean yields is proving shallower than feared — the single most important read-through for the Q2 print.</w:t>
      </w:r>
    </w:p>
    <w:p>
      <w:pPr>
        <w:pStyle w:val="ListBullet"/>
        <w:ind w:left="360" w:hanging="360"/>
      </w:pPr>
      <w:r>
        <w:rPr>
          <w:rFonts w:ascii="Calibri" w:hAnsi="Calibri"/>
          <w:b/>
          <w:color w:val="525866"/>
          <w:sz w:val="22"/>
        </w:rPr>
        <w:t>June 23, 2026 — Carnival Q2 2026 Record Results (Peer Read-Through):</w:t>
      </w:r>
      <w:r>
        <w:rPr>
          <w:rFonts w:ascii="Calibri" w:hAnsi="Calibri"/>
          <w:color w:val="525866"/>
          <w:sz w:val="22"/>
        </w:rPr>
        <w:t xml:space="preserve"> CCL reported record Q2 revenues, net yields, EBITDA, and net income, with yields up +2.2% YoY for the 12th consecutive record quarter despite a nearly 30% increase in fuel prices. Booked position for H2 2026 ahead of last year at record prices. 2027 bookings at historical highs. </w:t>
      </w:r>
      <w:r>
        <w:rPr>
          <w:rFonts w:ascii="Calibri" w:hAnsi="Calibri"/>
          <w:b/>
          <w:color w:val="525866"/>
          <w:sz w:val="22"/>
        </w:rPr>
        <w:t>Implication:</w:t>
      </w:r>
      <w:r>
        <w:rPr>
          <w:rFonts w:ascii="Calibri" w:hAnsi="Calibri"/>
          <w:color w:val="525866"/>
          <w:sz w:val="22"/>
        </w:rPr>
        <w:t xml:space="preserve"> Strongest possible read-through for RCL's Q2 yield performance and H2 recovery narrative; reduces downside risk to RCL's conservative guidance.</w:t>
      </w:r>
    </w:p>
    <w:p>
      <w:pPr>
        <w:pStyle w:val="ListBullet"/>
        <w:ind w:left="360" w:hanging="360"/>
      </w:pPr>
      <w:r>
        <w:rPr>
          <w:rFonts w:ascii="Calibri" w:hAnsi="Calibri"/>
          <w:b/>
          <w:color w:val="525866"/>
          <w:sz w:val="22"/>
        </w:rPr>
        <w:t>May 4, 2026 — NCLH Q1 2026 Results (Cautionary Peer Read-Through):</w:t>
      </w:r>
      <w:r>
        <w:rPr>
          <w:rFonts w:ascii="Calibri" w:hAnsi="Calibri"/>
          <w:color w:val="525866"/>
          <w:sz w:val="22"/>
        </w:rPr>
        <w:t xml:space="preserve"> NCLH guided for Q2 net yield decline of -3.6% and full-year decline of -3% to -5%, citing European pressure, weaker domestic demand, and internal execution failures. Reduced full-year adjusted EBITDA guidance to $2.48B–$2.64B. </w:t>
      </w:r>
      <w:r>
        <w:rPr>
          <w:rFonts w:ascii="Calibri" w:hAnsi="Calibri"/>
          <w:b/>
          <w:color w:val="525866"/>
          <w:sz w:val="22"/>
        </w:rPr>
        <w:t>Implication:</w:t>
      </w:r>
      <w:r>
        <w:rPr>
          <w:rFonts w:ascii="Calibri" w:hAnsi="Calibri"/>
          <w:color w:val="525866"/>
          <w:sz w:val="22"/>
        </w:rPr>
        <w:t xml:space="preserve"> Largely company-specific (NCLH's marketing missteps and booking curve deficit); not a direct read-through for RCL, but confirms elevated European cancellations and Alaska softness as industry-level headwinds.</w:t>
      </w:r>
    </w:p>
    <w:p>
      <w:pPr>
        <w:pStyle w:val="ListBullet"/>
        <w:ind w:left="360" w:hanging="360"/>
      </w:pPr>
      <w:r>
        <w:rPr>
          <w:rFonts w:ascii="Calibri" w:hAnsi="Calibri"/>
          <w:b/>
          <w:color w:val="525866"/>
          <w:sz w:val="22"/>
        </w:rPr>
        <w:t>July 20, 2026 — Board Appointment: Tara Bunch (Former Airbnb/Apple Executive):</w:t>
      </w:r>
      <w:r>
        <w:rPr>
          <w:rFonts w:ascii="Calibri" w:hAnsi="Calibri"/>
          <w:color w:val="525866"/>
          <w:sz w:val="22"/>
        </w:rPr>
        <w:t xml:space="preserve"> RCL appointed Tara Bunch, former SVP and Global Head of Operations at Airbnb, to its Board of Directors. Bunch brings 30+ years of experience in scaling global technology organizations, customer experience, and digital transformation. </w:t>
      </w:r>
      <w:r>
        <w:rPr>
          <w:rFonts w:ascii="Calibri" w:hAnsi="Calibri"/>
          <w:b/>
          <w:color w:val="525866"/>
          <w:sz w:val="22"/>
        </w:rPr>
        <w:t>Implication:</w:t>
      </w:r>
      <w:r>
        <w:rPr>
          <w:rFonts w:ascii="Calibri" w:hAnsi="Calibri"/>
          <w:color w:val="525866"/>
          <w:sz w:val="22"/>
        </w:rPr>
        <w:t xml:space="preserve"> Reinforces RCL's strategic focus on AI, digital transformation, and loyalty ecosystem deepening; no near-term financial impact but signals continued investment in technology-driven yield optimization.</w:t>
      </w:r>
    </w:p>
    <w:p>
      <w:pPr>
        <w:pStyle w:val="ListBullet"/>
        <w:ind w:left="360" w:hanging="360"/>
      </w:pPr>
      <w:r>
        <w:rPr>
          <w:rFonts w:ascii="Calibri" w:hAnsi="Calibri"/>
          <w:b/>
          <w:color w:val="525866"/>
          <w:sz w:val="22"/>
        </w:rPr>
        <w:t>April 30, 2026 — Icon 6 and Icon 7 Orders Announced:</w:t>
      </w:r>
      <w:r>
        <w:rPr>
          <w:rFonts w:ascii="Calibri" w:hAnsi="Calibri"/>
          <w:color w:val="525866"/>
          <w:sz w:val="22"/>
        </w:rPr>
        <w:t xml:space="preserve"> RCL announced orders for Icon 6 and Icon 7, reflecting confidence in the Icon platform's ability to deliver industry-leading returns. </w:t>
      </w:r>
      <w:r>
        <w:rPr>
          <w:rFonts w:ascii="Calibri" w:hAnsi="Calibri"/>
          <w:b/>
          <w:color w:val="525866"/>
          <w:sz w:val="22"/>
        </w:rPr>
        <w:t>Implication:</w:t>
      </w:r>
      <w:r>
        <w:rPr>
          <w:rFonts w:ascii="Calibri" w:hAnsi="Calibri"/>
          <w:color w:val="525866"/>
          <w:sz w:val="22"/>
        </w:rPr>
        <w:t xml:space="preserve"> Long-term capacity and earnings growth signal; validates the Perfecta program's investment thesis.</w:t>
      </w:r>
    </w:p>
    <w:p>
      <w:pPr>
        <w:pStyle w:val="ListBullet"/>
        <w:ind w:left="360" w:hanging="360"/>
      </w:pPr>
      <w:r>
        <w:rPr>
          <w:rFonts w:ascii="Calibri" w:hAnsi="Calibri"/>
          <w:b/>
          <w:color w:val="525866"/>
          <w:sz w:val="22"/>
        </w:rPr>
        <w:t>April 30, 2026 — Royal Beach Club Santorini Opened:</w:t>
      </w:r>
      <w:r>
        <w:rPr>
          <w:rFonts w:ascii="Calibri" w:hAnsi="Calibri"/>
          <w:color w:val="525866"/>
          <w:sz w:val="22"/>
        </w:rPr>
        <w:t xml:space="preserve"> RCL opened Royal Beach Club Santorini following the launch of Royal Beach Club Paradise Island in 2025. Demand described as 'very strong.' </w:t>
      </w:r>
      <w:r>
        <w:rPr>
          <w:rFonts w:ascii="Calibri" w:hAnsi="Calibri"/>
          <w:b/>
          <w:color w:val="525866"/>
          <w:sz w:val="22"/>
        </w:rPr>
        <w:t>Implication:</w:t>
      </w:r>
      <w:r>
        <w:rPr>
          <w:rFonts w:ascii="Calibri" w:hAnsi="Calibri"/>
          <w:color w:val="525866"/>
          <w:sz w:val="22"/>
        </w:rPr>
        <w:t xml:space="preserve"> Incremental yield contributor for Q2 and beyond; private destination portfolio expansion is a key driver of the Perfecta yield growth thesis.</w:t>
      </w:r>
    </w:p>
    <w:p>
      <w:pPr>
        <w:pStyle w:val="ListBullet"/>
        <w:ind w:left="360" w:hanging="360"/>
      </w:pPr>
      <w:r>
        <w:rPr>
          <w:rFonts w:ascii="Calibri" w:hAnsi="Calibri"/>
          <w:b/>
          <w:color w:val="525866"/>
          <w:sz w:val="22"/>
        </w:rPr>
        <w:t>April 30, 2026 — Perfect Day Mexico Construction Resumed:</w:t>
      </w:r>
      <w:r>
        <w:rPr>
          <w:rFonts w:ascii="Calibri" w:hAnsi="Calibri"/>
          <w:color w:val="525866"/>
          <w:sz w:val="22"/>
        </w:rPr>
        <w:t xml:space="preserve"> Construction resumed following resolution of environmental permitting issues; targeting soft opening Q4 2027 with full ramp through 2028. Royal Beach Club Cozumel now expected early 2028; Perfect Day Costa Maya targeted late 2027. </w:t>
      </w:r>
      <w:r>
        <w:rPr>
          <w:rFonts w:ascii="Calibri" w:hAnsi="Calibri"/>
          <w:b/>
          <w:color w:val="525866"/>
          <w:sz w:val="22"/>
        </w:rPr>
        <w:t>Implication:</w:t>
      </w:r>
      <w:r>
        <w:rPr>
          <w:rFonts w:ascii="Calibri" w:hAnsi="Calibri"/>
          <w:color w:val="525866"/>
          <w:sz w:val="22"/>
        </w:rPr>
        <w:t xml:space="preserve"> Removes a key overhang; private destination pipeline intact and on track.</w:t>
      </w:r>
    </w:p>
    <w:p>
      <w:pPr>
        <w:pStyle w:val="ListBullet"/>
        <w:ind w:left="360" w:hanging="360"/>
      </w:pPr>
      <w:r>
        <w:rPr>
          <w:rFonts w:ascii="Calibri" w:hAnsi="Calibri"/>
          <w:b/>
          <w:color w:val="525866"/>
          <w:sz w:val="22"/>
        </w:rPr>
        <w:t>April 30, 2026 — Royal ONE Co-Branded Credit Card Launched:</w:t>
      </w:r>
      <w:r>
        <w:rPr>
          <w:rFonts w:ascii="Calibri" w:hAnsi="Calibri"/>
          <w:color w:val="525866"/>
          <w:sz w:val="22"/>
        </w:rPr>
        <w:t xml:space="preserve"> RCL launched the Royal ONE co-branded credit card; cardholder accounts have more than doubled since 2019 with opportunity to double again. </w:t>
      </w:r>
      <w:r>
        <w:rPr>
          <w:rFonts w:ascii="Calibri" w:hAnsi="Calibri"/>
          <w:b/>
          <w:color w:val="525866"/>
          <w:sz w:val="22"/>
        </w:rPr>
        <w:t>Implication:</w:t>
      </w:r>
      <w:r>
        <w:rPr>
          <w:rFonts w:ascii="Calibri" w:hAnsi="Calibri"/>
          <w:color w:val="525866"/>
          <w:sz w:val="22"/>
        </w:rPr>
        <w:t xml:space="preserve"> Loyalty ecosystem deepening; incremental revenue and repeat guest retention tool.</w:t>
      </w:r>
    </w:p>
    <w:p>
      <w:pPr>
        <w:pStyle w:val="ListBullet"/>
        <w:ind w:left="360" w:hanging="360"/>
      </w:pPr>
      <w:r>
        <w:rPr>
          <w:rFonts w:ascii="Calibri" w:hAnsi="Calibri"/>
          <w:b/>
          <w:color w:val="525866"/>
          <w:sz w:val="22"/>
        </w:rPr>
        <w:t>Analyst Actions (Post-April 30):</w:t>
      </w:r>
      <w:r>
        <w:rPr>
          <w:rFonts w:ascii="Calibri" w:hAnsi="Calibri"/>
          <w:color w:val="525866"/>
          <w:sz w:val="22"/>
        </w:rPr>
        <w:t xml:space="preserve"> Wells Fargo raised PT from $360 to $361 (Overweight, June 22); Citigroup raised PT from $348 to $362 (Buy, June 16); JPMorgan cut PT from $376 to $341 (Overweight, April 8); Loop Capital initiated at Hold with $304 PT (June 1); Zacks upgraded from Strong Sell to Hold (June 18). Consensus rating: Moderate Buy; average PT ~$346.80 (implying ~14% upside from current ~$305). </w:t>
      </w:r>
      <w:r>
        <w:rPr>
          <w:rFonts w:ascii="Calibri" w:hAnsi="Calibri"/>
          <w:b/>
          <w:color w:val="525866"/>
          <w:sz w:val="22"/>
        </w:rPr>
        <w:t>Implication:</w:t>
      </w:r>
      <w:r>
        <w:rPr>
          <w:rFonts w:ascii="Calibri" w:hAnsi="Calibri"/>
          <w:color w:val="525866"/>
          <w:sz w:val="22"/>
        </w:rPr>
        <w:t xml:space="preserve"> Broadly constructive but not stretched; PT upgrades post-CCL print suggest the Street is incrementally more positive on the yield recovery narrative.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April 30 earnings date; the only transactions are routine director equity grants (code A) and tax-withholding share forfeitures (code F) — 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Brock, John</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 not a discretionary purchase</w:t>
            </w:r>
          </w:p>
        </w:tc>
      </w:tr>
      <w:tr>
        <w:tc>
          <w:tcPr>
            <w:tcW w:type="dxa" w:w="1440"/>
          </w:tcPr>
          <w:p>
            <w:r>
              <w:rPr>
                <w:rFonts w:ascii="Calibri" w:hAnsi="Calibri"/>
                <w:sz w:val="22"/>
              </w:rPr>
              <w:t>Fain, Richard 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Howe, Stephen R. Jr.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Leavitt, Michael O.</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McPherson, Amy</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Montiel, Maritza Gomez</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Moore, Ann S.</w:t>
            </w:r>
          </w:p>
        </w:tc>
        <w:tc>
          <w:tcPr>
            <w:tcW w:type="dxa" w:w="1440"/>
          </w:tcPr>
          <w:p>
            <w:r>
              <w:rPr>
                <w:rFonts w:ascii="Calibri" w:hAnsi="Calibri"/>
                <w:sz w:val="22"/>
              </w:rPr>
              <w:t>Director</w:t>
            </w:r>
          </w:p>
        </w:tc>
        <w:tc>
          <w:tcPr>
            <w:tcW w:type="dxa" w:w="1440"/>
          </w:tcPr>
          <w:p>
            <w:r>
              <w:rPr>
                <w:rFonts w:ascii="Calibri" w:hAnsi="Calibri"/>
                <w:sz w:val="22"/>
              </w:rPr>
              <w:t>Tax Withholding Forfeiture (Code F)</w:t>
            </w:r>
          </w:p>
        </w:tc>
        <w:tc>
          <w:tcPr>
            <w:tcW w:type="dxa" w:w="1440"/>
          </w:tcPr>
          <w:p>
            <w:r>
              <w:rPr>
                <w:rFonts w:ascii="Calibri" w:hAnsi="Calibri"/>
                <w:sz w:val="22"/>
              </w:rPr>
              <w:t>78</w:t>
            </w:r>
          </w:p>
        </w:tc>
        <w:tc>
          <w:tcPr>
            <w:tcW w:type="dxa" w:w="1440"/>
          </w:tcPr>
          <w:p>
            <w:r>
              <w:rPr>
                <w:rFonts w:ascii="Calibri" w:hAnsi="Calibri"/>
                <w:sz w:val="22"/>
              </w:rPr>
              <w:t>May 28, 2026</w:t>
            </w:r>
          </w:p>
        </w:tc>
        <w:tc>
          <w:tcPr>
            <w:tcW w:type="dxa" w:w="1440"/>
          </w:tcPr>
          <w:p>
            <w:r>
              <w:rPr>
                <w:rFonts w:ascii="Calibri" w:hAnsi="Calibri"/>
                <w:sz w:val="22"/>
              </w:rPr>
              <w:t>Shares withheld for tax obligation on equity award; not a discretionary sale</w:t>
            </w:r>
          </w:p>
        </w:tc>
      </w:tr>
      <w:tr>
        <w:tc>
          <w:tcPr>
            <w:tcW w:type="dxa" w:w="1440"/>
          </w:tcPr>
          <w:p>
            <w:r>
              <w:rPr>
                <w:rFonts w:ascii="Calibri" w:hAnsi="Calibri"/>
                <w:sz w:val="22"/>
              </w:rPr>
              <w:t>Ofer, Eyal</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Sorensen, Vagn O.</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Thompson, Donald</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Wiernicki, Christopher J.</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Wilhelmsen, Arne Alexander</w:t>
            </w:r>
          </w:p>
        </w:tc>
        <w:tc>
          <w:tcPr>
            <w:tcW w:type="dxa" w:w="1440"/>
          </w:tcPr>
          <w:p>
            <w:r>
              <w:rPr>
                <w:rFonts w:ascii="Calibri" w:hAnsi="Calibri"/>
                <w:sz w:val="22"/>
              </w:rPr>
              <w:t>Director</w:t>
            </w:r>
          </w:p>
        </w:tc>
        <w:tc>
          <w:tcPr>
            <w:tcW w:type="dxa" w:w="1440"/>
          </w:tcPr>
          <w:p>
            <w:r>
              <w:rPr>
                <w:rFonts w:ascii="Calibri" w:hAnsi="Calibri"/>
                <w:sz w:val="22"/>
              </w:rPr>
              <w:t>Equity Grant (Code A)</w:t>
            </w:r>
          </w:p>
        </w:tc>
        <w:tc>
          <w:tcPr>
            <w:tcW w:type="dxa" w:w="1440"/>
          </w:tcPr>
          <w:p>
            <w:r>
              <w:rPr>
                <w:rFonts w:ascii="Calibri" w:hAnsi="Calibri"/>
                <w:sz w:val="22"/>
              </w:rPr>
              <w:t>831</w:t>
            </w:r>
          </w:p>
        </w:tc>
        <w:tc>
          <w:tcPr>
            <w:tcW w:type="dxa" w:w="1440"/>
          </w:tcPr>
          <w:p>
            <w:r>
              <w:rPr>
                <w:rFonts w:ascii="Calibri" w:hAnsi="Calibri"/>
                <w:sz w:val="22"/>
              </w:rPr>
              <w:t>May 28, 2026</w:t>
            </w:r>
          </w:p>
        </w:tc>
        <w:tc>
          <w:tcPr>
            <w:tcW w:type="dxa" w:w="1440"/>
          </w:tcPr>
          <w:p>
            <w:r>
              <w:rPr>
                <w:rFonts w:ascii="Calibri" w:hAnsi="Calibri"/>
                <w:sz w:val="22"/>
              </w:rPr>
              <w:t>Routine annual director equity award</w:t>
            </w:r>
          </w:p>
        </w:tc>
      </w:tr>
      <w:tr>
        <w:tc>
          <w:tcPr>
            <w:tcW w:type="dxa" w:w="1440"/>
          </w:tcPr>
          <w:p>
            <w:r>
              <w:rPr>
                <w:rFonts w:ascii="Calibri" w:hAnsi="Calibri"/>
                <w:sz w:val="22"/>
              </w:rPr>
              <w:t>Yeung, Rebecca</w:t>
            </w:r>
          </w:p>
        </w:tc>
        <w:tc>
          <w:tcPr>
            <w:tcW w:type="dxa" w:w="1440"/>
          </w:tcPr>
          <w:p>
            <w:r>
              <w:rPr>
                <w:rFonts w:ascii="Calibri" w:hAnsi="Calibri"/>
                <w:sz w:val="22"/>
              </w:rPr>
              <w:t>Director</w:t>
            </w:r>
          </w:p>
        </w:tc>
        <w:tc>
          <w:tcPr>
            <w:tcW w:type="dxa" w:w="1440"/>
          </w:tcPr>
          <w:p>
            <w:r>
              <w:rPr>
                <w:rFonts w:ascii="Calibri" w:hAnsi="Calibri"/>
                <w:sz w:val="22"/>
              </w:rPr>
              <w:t>Tax Withholding Forfeiture (Code F)</w:t>
            </w:r>
          </w:p>
        </w:tc>
        <w:tc>
          <w:tcPr>
            <w:tcW w:type="dxa" w:w="1440"/>
          </w:tcPr>
          <w:p>
            <w:r>
              <w:rPr>
                <w:rFonts w:ascii="Calibri" w:hAnsi="Calibri"/>
                <w:sz w:val="22"/>
              </w:rPr>
              <w:t>78</w:t>
            </w:r>
          </w:p>
        </w:tc>
        <w:tc>
          <w:tcPr>
            <w:tcW w:type="dxa" w:w="1440"/>
          </w:tcPr>
          <w:p>
            <w:r>
              <w:rPr>
                <w:rFonts w:ascii="Calibri" w:hAnsi="Calibri"/>
                <w:sz w:val="22"/>
              </w:rPr>
              <w:t>May 28, 2026</w:t>
            </w:r>
          </w:p>
        </w:tc>
        <w:tc>
          <w:tcPr>
            <w:tcW w:type="dxa" w:w="1440"/>
          </w:tcPr>
          <w:p>
            <w:r>
              <w:rPr>
                <w:rFonts w:ascii="Calibri" w:hAnsi="Calibri"/>
                <w:sz w:val="22"/>
              </w:rPr>
              <w:t>Shares withheld for tax obligation on equity award; not a discretionary sale</w:t>
            </w:r>
          </w:p>
        </w:tc>
      </w:tr>
      <w:tr>
        <w:tc>
          <w:tcPr>
            <w:tcW w:type="dxa" w:w="1440"/>
          </w:tcPr>
          <w:p>
            <w:r>
              <w:rPr>
                <w:rFonts w:ascii="Calibri" w:hAnsi="Calibri"/>
                <w:sz w:val="22"/>
              </w:rPr>
              <w:t>Bethge, Laura H.</w:t>
            </w:r>
          </w:p>
        </w:tc>
        <w:tc>
          <w:tcPr>
            <w:tcW w:type="dxa" w:w="1440"/>
          </w:tcPr>
          <w:p>
            <w:r>
              <w:rPr>
                <w:rFonts w:ascii="Calibri" w:hAnsi="Calibri"/>
                <w:sz w:val="22"/>
              </w:rPr>
              <w:t>President, Celebrity Cruises</w:t>
            </w:r>
          </w:p>
        </w:tc>
        <w:tc>
          <w:tcPr>
            <w:tcW w:type="dxa" w:w="1440"/>
          </w:tcPr>
          <w:p>
            <w:r>
              <w:rPr>
                <w:rFonts w:ascii="Calibri" w:hAnsi="Calibri"/>
                <w:sz w:val="22"/>
              </w:rPr>
              <w:t>Tax Withholding Forfeiture (Code F)</w:t>
            </w:r>
          </w:p>
        </w:tc>
        <w:tc>
          <w:tcPr>
            <w:tcW w:type="dxa" w:w="1440"/>
          </w:tcPr>
          <w:p>
            <w:r>
              <w:rPr>
                <w:rFonts w:ascii="Calibri" w:hAnsi="Calibri"/>
                <w:sz w:val="22"/>
              </w:rPr>
              <w:t>267</w:t>
            </w:r>
          </w:p>
        </w:tc>
        <w:tc>
          <w:tcPr>
            <w:tcW w:type="dxa" w:w="1440"/>
          </w:tcPr>
          <w:p>
            <w:r>
              <w:rPr>
                <w:rFonts w:ascii="Calibri" w:hAnsi="Calibri"/>
                <w:sz w:val="22"/>
              </w:rPr>
              <w:t>June 1, 2026</w:t>
            </w:r>
          </w:p>
        </w:tc>
        <w:tc>
          <w:tcPr>
            <w:tcW w:type="dxa" w:w="1440"/>
          </w:tcPr>
          <w:p>
            <w:r>
              <w:rPr>
                <w:rFonts w:ascii="Calibri" w:hAnsi="Calibri"/>
                <w:sz w:val="22"/>
              </w:rPr>
              <w:t>Shares withheld for tax obligation on vesting; not a discretionary sale</w:t>
            </w:r>
          </w:p>
        </w:tc>
      </w:tr>
    </w:tbl>
    <w:p>
      <w:r>
        <w:rPr>
          <w:rFonts w:ascii="Calibri" w:hAnsi="Calibri"/>
          <w:i/>
          <w:color w:val="525866"/>
          <w:sz w:val="22"/>
        </w:rPr>
        <w:t>Source: SEC Form 4 Filings Database (Insider Transaction Data). Window: April 30, 2026 – July 27, 2026.</w:t>
      </w:r>
    </w:p>
    <w:p>
      <w:r>
        <w:rPr>
          <w:rFonts w:ascii="Calibri" w:hAnsi="Calibri"/>
          <w:b/>
          <w:color w:val="525866"/>
          <w:sz w:val="22"/>
        </w:rPr>
        <w:t xml:space="preserve">Assessment: </w:t>
      </w:r>
      <w:r>
        <w:rPr>
          <w:rFonts w:ascii="Calibri" w:hAnsi="Calibri"/>
          <w:color w:val="525866"/>
          <w:sz w:val="22"/>
        </w:rPr>
        <w:t>All transactions in the window are routine — annual director equity grants (Code A, non-discretionary awards) and tax-withholding forfeitures (Code F, obligation-driven). There are no open-market purchases (Code P) or discretionary sales (Code S) by any executive or director. The absence of discretionary selling ahead of earnings is a mild positive signal, but the absence of open-market buying means insiders are not making a strong directional bet. Nothing notable to flag.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