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Royal Caribbean Group (RCL)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Royal Caribbean Group</w:t>
            </w:r>
          </w:p>
        </w:tc>
      </w:tr>
      <w:tr>
        <w:tc>
          <w:tcPr>
            <w:tcW w:type="dxa" w:w="4320"/>
          </w:tcPr>
          <w:p>
            <w:r>
              <w:rPr>
                <w:rFonts w:ascii="Calibri" w:hAnsi="Calibri"/>
                <w:b/>
                <w:sz w:val="22"/>
              </w:rPr>
              <w:t>Ticker</w:t>
            </w:r>
          </w:p>
        </w:tc>
        <w:tc>
          <w:tcPr>
            <w:tcW w:type="dxa" w:w="4320"/>
          </w:tcPr>
          <w:p>
            <w:r>
              <w:rPr>
                <w:rFonts w:ascii="Calibri" w:hAnsi="Calibri"/>
                <w:sz w:val="22"/>
              </w:rPr>
              <w:t>RCL</w:t>
            </w:r>
          </w:p>
        </w:tc>
      </w:tr>
      <w:tr>
        <w:tc>
          <w:tcPr>
            <w:tcW w:type="dxa" w:w="4320"/>
          </w:tcPr>
          <w:p>
            <w:r>
              <w:rPr>
                <w:rFonts w:ascii="Calibri" w:hAnsi="Calibri"/>
                <w:b/>
                <w:sz w:val="22"/>
              </w:rPr>
              <w:t>Reporting Quarter</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10:00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XLY (Consumer Discretionary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has drifted only slightly above the Q1 guidance midpoint of $3.88, and the biggest swing factor is whether geopolitical headwinds to Mediterranean yields have eased faster than management's April guidance assumed.</w:t>
      </w:r>
    </w:p>
    <w:p>
      <w:r>
        <w:rPr>
          <w:rFonts w:ascii="Calibri" w:hAnsi="Calibri"/>
          <w:color w:val="525866"/>
          <w:sz w:val="22"/>
        </w:rPr>
        <w:t xml:space="preserve">Heading into Q2 2026, the bar for RCL is manageable: consensus Adjusted EPS of ~$4.02 sits just above the $3.83–$3.93 guidance range management issued on April 30, implying the Street has already baked in a modest beat relative to the midpoint. </w:t>
      </w:r>
      <w:r>
        <w:rPr>
          <w:rFonts w:ascii="Calibri" w:hAnsi="Calibri"/>
          <w:b/>
          <w:color w:val="525866"/>
          <w:sz w:val="22"/>
        </w:rPr>
        <w:t>The key question is yield trajectory</w:t>
      </w:r>
      <w:r>
        <w:rPr>
          <w:rFonts w:ascii="Calibri" w:hAnsi="Calibri"/>
          <w:color w:val="525866"/>
          <w:sz w:val="22"/>
        </w:rPr>
        <w:t xml:space="preserve"> — management guided net yields up only ~0.2% in constant currency for Q2, citing a ~200 bps headwind from geopolitical disruption to high-yielding Mediterranean itineraries and elevated dry-dock days; if Mediterranean bookings rebounded faster than feared (as management signaled they had "turned the corner" in late April), the yield line could surprise to the upside. Estimate revisions have been constructive since the Q1 print, with Q2 EPS consensus rising from $3.94 to $4.02 and FY 2026 EPS edging up from $17.38 to $17.42, suggesting the Street is incrementally more confident rather than bracing for a miss. The stock has recovered from its post-Q1 lows (~$247 in mid-May) to ~$305 today, a ~16% move that has outpaced both XLY and SPY since the April 30 earnings date, implying some beat expectation is already priced in at ~15.7x NTM P/E. </w:t>
      </w:r>
      <w:r>
        <w:rPr>
          <w:rFonts w:ascii="Calibri" w:hAnsi="Calibri"/>
          <w:b/>
          <w:color w:val="525866"/>
          <w:sz w:val="22"/>
        </w:rPr>
        <w:t xml:space="preserve">The wildcard is fuel: </w:t>
      </w:r>
      <w:r>
        <w:rPr>
          <w:rFonts w:ascii="Calibri" w:hAnsi="Calibri"/>
          <w:color w:val="525866"/>
          <w:sz w:val="22"/>
        </w:rPr>
        <w:t>RCL is 60% hedged for the remainder of 2026 at below-market rates, but any further spike in spot oil prices — or, conversely, the recent moderation in oil prices flowing through to the forward curve — could move the FY EPS range by $0.60+ per share in either direction, making the fuel commentary on the call as important as the yield print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slightly elevated but beatable bar — Q2 EPS of $4.02 sits above the guidance midpoint of $3.88, and net yield growth of ~0.58% CC is the bigger swing factor given the geopolitical disruption baked into guidance. A yield beat would be the most meaningful upside catalyst.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Adj. EPS ($)</w:t>
            </w:r>
          </w:p>
        </w:tc>
        <w:tc>
          <w:tcPr>
            <w:tcW w:type="dxa" w:w="1234"/>
          </w:tcPr>
          <w:p>
            <w:r>
              <w:rPr>
                <w:rFonts w:ascii="Calibri" w:hAnsi="Calibri"/>
                <w:sz w:val="22"/>
              </w:rPr>
              <w:t>$3.60</w:t>
            </w:r>
          </w:p>
        </w:tc>
        <w:tc>
          <w:tcPr>
            <w:tcW w:type="dxa" w:w="1234"/>
          </w:tcPr>
          <w:p>
            <w:r>
              <w:rPr>
                <w:rFonts w:ascii="Calibri" w:hAnsi="Calibri"/>
                <w:sz w:val="22"/>
              </w:rPr>
              <w:t>$4.38</w:t>
            </w:r>
          </w:p>
        </w:tc>
        <w:tc>
          <w:tcPr>
            <w:tcW w:type="dxa" w:w="1234"/>
          </w:tcPr>
          <w:p>
            <w:r>
              <w:rPr>
                <w:rFonts w:ascii="Calibri" w:hAnsi="Calibri"/>
                <w:sz w:val="22"/>
              </w:rPr>
              <w:t>$4.02</w:t>
            </w:r>
          </w:p>
        </w:tc>
        <w:tc>
          <w:tcPr>
            <w:tcW w:type="dxa" w:w="1234"/>
          </w:tcPr>
          <w:p>
            <w:r>
              <w:rPr>
                <w:rFonts w:ascii="Calibri" w:hAnsi="Calibri"/>
                <w:sz w:val="22"/>
              </w:rPr>
              <w:t>-8.2% YoY</w:t>
            </w:r>
          </w:p>
        </w:tc>
        <w:tc>
          <w:tcPr>
            <w:tcW w:type="dxa" w:w="1234"/>
          </w:tcPr>
          <w:p>
            <w:r>
              <w:rPr>
                <w:rFonts w:ascii="Calibri" w:hAnsi="Calibri"/>
                <w:sz w:val="22"/>
              </w:rPr>
              <w:t>$3.88 ($3.83–$3.93)</w:t>
            </w:r>
          </w:p>
        </w:tc>
        <w:tc>
          <w:tcPr>
            <w:tcW w:type="dxa" w:w="1234"/>
          </w:tcPr>
          <w:p>
            <w:r>
              <w:rPr>
                <w:rFonts w:ascii="Calibri" w:hAnsi="Calibri"/>
                <w:sz w:val="22"/>
              </w:rPr>
              <w:t>+3.6%</w:t>
            </w:r>
          </w:p>
        </w:tc>
      </w:tr>
      <w:tr>
        <w:tc>
          <w:tcPr>
            <w:tcW w:type="dxa" w:w="1234"/>
          </w:tcPr>
          <w:p>
            <w:r>
              <w:rPr>
                <w:rFonts w:ascii="Calibri" w:hAnsi="Calibri"/>
                <w:sz w:val="22"/>
              </w:rPr>
              <w:t>Net Revenues ($B)</w:t>
            </w:r>
          </w:p>
        </w:tc>
        <w:tc>
          <w:tcPr>
            <w:tcW w:type="dxa" w:w="1234"/>
          </w:tcPr>
          <w:p>
            <w:r>
              <w:rPr>
                <w:rFonts w:ascii="Calibri" w:hAnsi="Calibri"/>
                <w:sz w:val="22"/>
              </w:rPr>
              <w:t>$3.676B</w:t>
            </w:r>
          </w:p>
        </w:tc>
        <w:tc>
          <w:tcPr>
            <w:tcW w:type="dxa" w:w="1234"/>
          </w:tcPr>
          <w:p>
            <w:r>
              <w:rPr>
                <w:rFonts w:ascii="Calibri" w:hAnsi="Calibri"/>
                <w:sz w:val="22"/>
              </w:rPr>
              <w:t>$3.670B</w:t>
            </w:r>
          </w:p>
        </w:tc>
        <w:tc>
          <w:tcPr>
            <w:tcW w:type="dxa" w:w="1234"/>
          </w:tcPr>
          <w:p>
            <w:r>
              <w:rPr>
                <w:rFonts w:ascii="Calibri" w:hAnsi="Calibri"/>
                <w:sz w:val="22"/>
              </w:rPr>
              <w:t>$3.893B</w:t>
            </w:r>
          </w:p>
        </w:tc>
        <w:tc>
          <w:tcPr>
            <w:tcW w:type="dxa" w:w="1234"/>
          </w:tcPr>
          <w:p>
            <w:r>
              <w:rPr>
                <w:rFonts w:ascii="Calibri" w:hAnsi="Calibri"/>
                <w:sz w:val="22"/>
              </w:rPr>
              <w:t>+6.1% YoY</w:t>
            </w:r>
          </w:p>
        </w:tc>
        <w:tc>
          <w:tcPr>
            <w:tcW w:type="dxa" w:w="1234"/>
          </w:tcPr>
          <w:p>
            <w:r>
              <w:rPr>
                <w:rFonts w:ascii="Calibri" w:hAnsi="Calibri"/>
                <w:sz w:val="22"/>
              </w:rPr>
              <w:t>~10% FY growth implied</w:t>
            </w:r>
          </w:p>
        </w:tc>
        <w:tc>
          <w:tcPr>
            <w:tcW w:type="dxa" w:w="1234"/>
          </w:tcPr>
          <w:p>
            <w:r>
              <w:rPr>
                <w:rFonts w:ascii="Calibri" w:hAnsi="Calibri"/>
                <w:sz w:val="22"/>
              </w:rPr>
              <w:t>N/A (no Q-level rev. guidance)</w:t>
            </w:r>
          </w:p>
        </w:tc>
      </w:tr>
      <w:tr>
        <w:tc>
          <w:tcPr>
            <w:tcW w:type="dxa" w:w="1234"/>
          </w:tcPr>
          <w:p>
            <w:r>
              <w:rPr>
                <w:rFonts w:ascii="Calibri" w:hAnsi="Calibri"/>
                <w:sz w:val="22"/>
              </w:rPr>
              <w:t>Net Yields — CC Growth (%)</w:t>
            </w:r>
          </w:p>
        </w:tc>
        <w:tc>
          <w:tcPr>
            <w:tcW w:type="dxa" w:w="1234"/>
          </w:tcPr>
          <w:p>
            <w:r>
              <w:rPr>
                <w:rFonts w:ascii="Calibri" w:hAnsi="Calibri"/>
                <w:sz w:val="22"/>
              </w:rPr>
              <w:t>+2.03% CC</w:t>
            </w:r>
          </w:p>
        </w:tc>
        <w:tc>
          <w:tcPr>
            <w:tcW w:type="dxa" w:w="1234"/>
          </w:tcPr>
          <w:p>
            <w:r>
              <w:rPr>
                <w:rFonts w:ascii="Calibri" w:hAnsi="Calibri"/>
                <w:sz w:val="22"/>
              </w:rPr>
              <w:t>+5.17% CC</w:t>
            </w:r>
          </w:p>
        </w:tc>
        <w:tc>
          <w:tcPr>
            <w:tcW w:type="dxa" w:w="1234"/>
          </w:tcPr>
          <w:p>
            <w:r>
              <w:rPr>
                <w:rFonts w:ascii="Calibri" w:hAnsi="Calibri"/>
                <w:sz w:val="22"/>
              </w:rPr>
              <w:t>+0.58% CC</w:t>
            </w:r>
          </w:p>
        </w:tc>
        <w:tc>
          <w:tcPr>
            <w:tcW w:type="dxa" w:w="1234"/>
          </w:tcPr>
          <w:p>
            <w:r>
              <w:rPr>
                <w:rFonts w:ascii="Calibri" w:hAnsi="Calibri"/>
                <w:sz w:val="22"/>
              </w:rPr>
              <w:t>-459 bps YoY</w:t>
            </w:r>
          </w:p>
        </w:tc>
        <w:tc>
          <w:tcPr>
            <w:tcW w:type="dxa" w:w="1234"/>
          </w:tcPr>
          <w:p>
            <w:r>
              <w:rPr>
                <w:rFonts w:ascii="Calibri" w:hAnsi="Calibri"/>
                <w:sz w:val="22"/>
              </w:rPr>
              <w:t>~+0.2% CC</w:t>
            </w:r>
          </w:p>
        </w:tc>
        <w:tc>
          <w:tcPr>
            <w:tcW w:type="dxa" w:w="1234"/>
          </w:tcPr>
          <w:p>
            <w:r>
              <w:rPr>
                <w:rFonts w:ascii="Calibri" w:hAnsi="Calibri"/>
                <w:sz w:val="22"/>
              </w:rPr>
              <w:t>+38 bps above guidance</w:t>
            </w:r>
          </w:p>
        </w:tc>
      </w:tr>
      <w:tr>
        <w:tc>
          <w:tcPr>
            <w:tcW w:type="dxa" w:w="1234"/>
          </w:tcPr>
          <w:p>
            <w:r>
              <w:rPr>
                <w:rFonts w:ascii="Calibri" w:hAnsi="Calibri"/>
                <w:sz w:val="22"/>
              </w:rPr>
              <w:t>NCC ex-Fuel/APCD — CC Growth (%)</w:t>
            </w:r>
          </w:p>
        </w:tc>
        <w:tc>
          <w:tcPr>
            <w:tcW w:type="dxa" w:w="1234"/>
          </w:tcPr>
          <w:p>
            <w:r>
              <w:rPr>
                <w:rFonts w:ascii="Calibri" w:hAnsi="Calibri"/>
                <w:sz w:val="22"/>
              </w:rPr>
              <w:t>-0.51% CC</w:t>
            </w:r>
          </w:p>
        </w:tc>
        <w:tc>
          <w:tcPr>
            <w:tcW w:type="dxa" w:w="1234"/>
          </w:tcPr>
          <w:p>
            <w:r>
              <w:rPr>
                <w:rFonts w:ascii="Calibri" w:hAnsi="Calibri"/>
                <w:sz w:val="22"/>
              </w:rPr>
              <w:t>+2.07% CC</w:t>
            </w:r>
          </w:p>
        </w:tc>
        <w:tc>
          <w:tcPr>
            <w:tcW w:type="dxa" w:w="1234"/>
          </w:tcPr>
          <w:p>
            <w:r>
              <w:rPr>
                <w:rFonts w:ascii="Calibri" w:hAnsi="Calibri"/>
                <w:sz w:val="22"/>
              </w:rPr>
              <w:t>+4.73% CC</w:t>
            </w:r>
          </w:p>
        </w:tc>
        <w:tc>
          <w:tcPr>
            <w:tcW w:type="dxa" w:w="1234"/>
          </w:tcPr>
          <w:p>
            <w:r>
              <w:rPr>
                <w:rFonts w:ascii="Calibri" w:hAnsi="Calibri"/>
                <w:sz w:val="22"/>
              </w:rPr>
              <w:t>+266 bps YoY</w:t>
            </w:r>
          </w:p>
        </w:tc>
        <w:tc>
          <w:tcPr>
            <w:tcW w:type="dxa" w:w="1234"/>
          </w:tcPr>
          <w:p>
            <w:r>
              <w:rPr>
                <w:rFonts w:ascii="Calibri" w:hAnsi="Calibri"/>
                <w:sz w:val="22"/>
              </w:rPr>
              <w:t>+4.6% to +5.1% CC</w:t>
            </w:r>
          </w:p>
        </w:tc>
        <w:tc>
          <w:tcPr>
            <w:tcW w:type="dxa" w:w="1234"/>
          </w:tcPr>
          <w:p>
            <w:r>
              <w:rPr>
                <w:rFonts w:ascii="Calibri" w:hAnsi="Calibri"/>
                <w:sz w:val="22"/>
              </w:rPr>
              <w:t>~-12 bps (within range)</w:t>
            </w:r>
          </w:p>
        </w:tc>
      </w:tr>
      <w:tr>
        <w:tc>
          <w:tcPr>
            <w:tcW w:type="dxa" w:w="1234"/>
          </w:tcPr>
          <w:p>
            <w:r>
              <w:rPr>
                <w:rFonts w:ascii="Calibri" w:hAnsi="Calibri"/>
                <w:sz w:val="22"/>
              </w:rPr>
              <w:t>APCD (KDays)</w:t>
            </w:r>
          </w:p>
        </w:tc>
        <w:tc>
          <w:tcPr>
            <w:tcW w:type="dxa" w:w="1234"/>
          </w:tcPr>
          <w:p>
            <w:r>
              <w:rPr>
                <w:rFonts w:ascii="Calibri" w:hAnsi="Calibri"/>
                <w:sz w:val="22"/>
              </w:rPr>
              <w:t>13,703</w:t>
            </w:r>
          </w:p>
        </w:tc>
        <w:tc>
          <w:tcPr>
            <w:tcW w:type="dxa" w:w="1234"/>
          </w:tcPr>
          <w:p>
            <w:r>
              <w:rPr>
                <w:rFonts w:ascii="Calibri" w:hAnsi="Calibri"/>
                <w:sz w:val="22"/>
              </w:rPr>
              <w:t>12,942</w:t>
            </w:r>
          </w:p>
        </w:tc>
        <w:tc>
          <w:tcPr>
            <w:tcW w:type="dxa" w:w="1234"/>
          </w:tcPr>
          <w:p>
            <w:r>
              <w:rPr>
                <w:rFonts w:ascii="Calibri" w:hAnsi="Calibri"/>
                <w:sz w:val="22"/>
              </w:rPr>
              <w:t>13,578</w:t>
            </w:r>
          </w:p>
        </w:tc>
        <w:tc>
          <w:tcPr>
            <w:tcW w:type="dxa" w:w="1234"/>
          </w:tcPr>
          <w:p>
            <w:r>
              <w:rPr>
                <w:rFonts w:ascii="Calibri" w:hAnsi="Calibri"/>
                <w:sz w:val="22"/>
              </w:rPr>
              <w:t>+4.9% YoY</w:t>
            </w:r>
          </w:p>
        </w:tc>
        <w:tc>
          <w:tcPr>
            <w:tcW w:type="dxa" w:w="1234"/>
          </w:tcPr>
          <w:p>
            <w:r>
              <w:rPr>
                <w:rFonts w:ascii="Calibri" w:hAnsi="Calibri"/>
                <w:sz w:val="22"/>
              </w:rPr>
              <w:t>+4.9% YoY capacity growth</w:t>
            </w:r>
          </w:p>
        </w:tc>
        <w:tc>
          <w:tcPr>
            <w:tcW w:type="dxa" w:w="1234"/>
          </w:tcPr>
          <w:p>
            <w:r>
              <w:rPr>
                <w:rFonts w:ascii="Calibri" w:hAnsi="Calibri"/>
                <w:sz w:val="22"/>
              </w:rPr>
              <w:t>In line</w:t>
            </w:r>
          </w:p>
        </w:tc>
      </w:tr>
      <w:tr>
        <w:tc>
          <w:tcPr>
            <w:tcW w:type="dxa" w:w="1234"/>
          </w:tcPr>
          <w:p>
            <w:r>
              <w:rPr>
                <w:rFonts w:ascii="Calibri" w:hAnsi="Calibri"/>
                <w:sz w:val="22"/>
              </w:rPr>
              <w:t>Occupancy (%)</w:t>
            </w:r>
          </w:p>
        </w:tc>
        <w:tc>
          <w:tcPr>
            <w:tcW w:type="dxa" w:w="1234"/>
          </w:tcPr>
          <w:p>
            <w:r>
              <w:rPr>
                <w:rFonts w:ascii="Calibri" w:hAnsi="Calibri"/>
                <w:sz w:val="22"/>
              </w:rPr>
              <w:t>108.5%</w:t>
            </w:r>
          </w:p>
        </w:tc>
        <w:tc>
          <w:tcPr>
            <w:tcW w:type="dxa" w:w="1234"/>
          </w:tcPr>
          <w:p>
            <w:r>
              <w:rPr>
                <w:rFonts w:ascii="Calibri" w:hAnsi="Calibri"/>
                <w:sz w:val="22"/>
              </w:rPr>
              <w:t>110.3%</w:t>
            </w:r>
          </w:p>
        </w:tc>
        <w:tc>
          <w:tcPr>
            <w:tcW w:type="dxa" w:w="1234"/>
          </w:tcPr>
          <w:p>
            <w:r>
              <w:rPr>
                <w:rFonts w:ascii="Calibri" w:hAnsi="Calibri"/>
                <w:sz w:val="22"/>
              </w:rPr>
              <w:t>110.2%</w:t>
            </w:r>
          </w:p>
        </w:tc>
        <w:tc>
          <w:tcPr>
            <w:tcW w:type="dxa" w:w="1234"/>
          </w:tcPr>
          <w:p>
            <w:r>
              <w:rPr>
                <w:rFonts w:ascii="Calibri" w:hAnsi="Calibri"/>
                <w:sz w:val="22"/>
              </w:rPr>
              <w:t>-10 bps YoY</w:t>
            </w:r>
          </w:p>
        </w:tc>
        <w:tc>
          <w:tcPr>
            <w:tcW w:type="dxa" w:w="1234"/>
          </w:tcPr>
          <w:p>
            <w:r>
              <w:rPr>
                <w:rFonts w:ascii="Calibri" w:hAnsi="Calibri"/>
                <w:sz w:val="22"/>
              </w:rPr>
              <w:t>N/A (not guided explicitly)</w:t>
            </w:r>
          </w:p>
        </w:tc>
        <w:tc>
          <w:tcPr>
            <w:tcW w:type="dxa" w:w="1234"/>
          </w:tcPr>
          <w:p>
            <w:r>
              <w:rPr>
                <w:rFonts w:ascii="Calibri" w:hAnsi="Calibri"/>
                <w:sz w:val="22"/>
              </w:rPr>
              <w:t>N/A</w:t>
            </w:r>
          </w:p>
        </w:tc>
      </w:tr>
      <w:tr>
        <w:tc>
          <w:tcPr>
            <w:tcW w:type="dxa" w:w="1234"/>
          </w:tcPr>
          <w:p>
            <w:r>
              <w:rPr>
                <w:rFonts w:ascii="Calibri" w:hAnsi="Calibri"/>
                <w:sz w:val="22"/>
              </w:rPr>
              <w:t>Company-Defined EBITDA ($B)</w:t>
            </w:r>
          </w:p>
        </w:tc>
        <w:tc>
          <w:tcPr>
            <w:tcW w:type="dxa" w:w="1234"/>
          </w:tcPr>
          <w:p>
            <w:r>
              <w:rPr>
                <w:rFonts w:ascii="Calibri" w:hAnsi="Calibri"/>
                <w:sz w:val="22"/>
              </w:rPr>
              <w:t>$1.701B</w:t>
            </w:r>
          </w:p>
        </w:tc>
        <w:tc>
          <w:tcPr>
            <w:tcW w:type="dxa" w:w="1234"/>
          </w:tcPr>
          <w:p>
            <w:r>
              <w:rPr>
                <w:rFonts w:ascii="Calibri" w:hAnsi="Calibri"/>
                <w:sz w:val="22"/>
              </w:rPr>
              <w:t>$1.860B</w:t>
            </w:r>
          </w:p>
        </w:tc>
        <w:tc>
          <w:tcPr>
            <w:tcW w:type="dxa" w:w="1234"/>
          </w:tcPr>
          <w:p>
            <w:r>
              <w:rPr>
                <w:rFonts w:ascii="Calibri" w:hAnsi="Calibri"/>
                <w:sz w:val="22"/>
              </w:rPr>
              <w:t>$1.822B</w:t>
            </w:r>
          </w:p>
        </w:tc>
        <w:tc>
          <w:tcPr>
            <w:tcW w:type="dxa" w:w="1234"/>
          </w:tcPr>
          <w:p>
            <w:r>
              <w:rPr>
                <w:rFonts w:ascii="Calibri" w:hAnsi="Calibri"/>
                <w:sz w:val="22"/>
              </w:rPr>
              <w:t>-2.0% YoY</w:t>
            </w:r>
          </w:p>
        </w:tc>
        <w:tc>
          <w:tcPr>
            <w:tcW w:type="dxa" w:w="1234"/>
          </w:tcPr>
          <w:p>
            <w:r>
              <w:rPr>
                <w:rFonts w:ascii="Calibri" w:hAnsi="Calibri"/>
                <w:sz w:val="22"/>
              </w:rPr>
              <w:t>N/A (not guided explicitly)</w:t>
            </w:r>
          </w:p>
        </w:tc>
        <w:tc>
          <w:tcPr>
            <w:tcW w:type="dxa" w:w="1234"/>
          </w:tcPr>
          <w:p>
            <w:r>
              <w:rPr>
                <w:rFonts w:ascii="Calibri" w:hAnsi="Calibri"/>
                <w:sz w:val="22"/>
              </w:rPr>
              <w:t>N/A</w:t>
            </w:r>
          </w:p>
        </w:tc>
      </w:tr>
    </w:tbl>
    <w:p>
      <w:r>
        <w:rPr>
          <w:rFonts w:ascii="Calibri" w:hAnsi="Calibri"/>
          <w:i/>
          <w:color w:val="525866"/>
          <w:sz w:val="22"/>
        </w:rPr>
        <w:t>Sources: Visible Alpha Consensus and Actuals Data (EPS, Net Revenues, Net Yields CC Growth, NCC ex-Fuel CC Growth, APCD, Occupancy, EBITDA); RCL Q1 2026 Earnings Release (guidance ranges). YoY EPS decline reflects geopolitical headwinds (~$1 combined impact from Mediterranean disruption, dry-dock timing, and lower TUI Cruises JV contribution) rather than underlying demand deterioration.</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$3.21</w:t>
            </w:r>
          </w:p>
        </w:tc>
        <w:tc>
          <w:tcPr>
            <w:tcW w:type="dxa" w:w="1728"/>
          </w:tcPr>
          <w:p>
            <w:r>
              <w:rPr>
                <w:rFonts w:ascii="Calibri" w:hAnsi="Calibri"/>
                <w:sz w:val="22"/>
              </w:rPr>
              <w:t>$2.75</w:t>
            </w:r>
          </w:p>
        </w:tc>
        <w:tc>
          <w:tcPr>
            <w:tcW w:type="dxa" w:w="1728"/>
          </w:tcPr>
          <w:p>
            <w:r>
              <w:rPr>
                <w:rFonts w:ascii="Calibri" w:hAnsi="Calibri"/>
                <w:b/>
                <w:color w:val="30A46C"/>
                <w:sz w:val="22"/>
              </w:rPr>
              <w:t>+16.7%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$5.20</w:t>
            </w:r>
          </w:p>
        </w:tc>
        <w:tc>
          <w:tcPr>
            <w:tcW w:type="dxa" w:w="1728"/>
          </w:tcPr>
          <w:p>
            <w:r>
              <w:rPr>
                <w:rFonts w:ascii="Calibri" w:hAnsi="Calibri"/>
                <w:sz w:val="22"/>
              </w:rPr>
              <w:t>$4.98</w:t>
            </w:r>
          </w:p>
        </w:tc>
        <w:tc>
          <w:tcPr>
            <w:tcW w:type="dxa" w:w="1728"/>
          </w:tcPr>
          <w:p>
            <w:r>
              <w:rPr>
                <w:rFonts w:ascii="Calibri" w:hAnsi="Calibri"/>
                <w:b/>
                <w:color w:val="30A46C"/>
                <w:sz w:val="22"/>
              </w:rPr>
              <w:t>+4.4%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$1.88</w:t>
            </w:r>
          </w:p>
        </w:tc>
        <w:tc>
          <w:tcPr>
            <w:tcW w:type="dxa" w:w="1728"/>
          </w:tcPr>
          <w:p>
            <w:r>
              <w:rPr>
                <w:rFonts w:ascii="Calibri" w:hAnsi="Calibri"/>
                <w:sz w:val="22"/>
              </w:rPr>
              <w:t>$1.57</w:t>
            </w:r>
          </w:p>
        </w:tc>
        <w:tc>
          <w:tcPr>
            <w:tcW w:type="dxa" w:w="1728"/>
          </w:tcPr>
          <w:p>
            <w:r>
              <w:rPr>
                <w:rFonts w:ascii="Calibri" w:hAnsi="Calibri"/>
                <w:b/>
                <w:color w:val="30A46C"/>
                <w:sz w:val="22"/>
              </w:rPr>
              <w:t>+19.1%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$2.71</w:t>
            </w:r>
          </w:p>
        </w:tc>
        <w:tc>
          <w:tcPr>
            <w:tcW w:type="dxa" w:w="1728"/>
          </w:tcPr>
          <w:p>
            <w:r>
              <w:rPr>
                <w:rFonts w:ascii="Calibri" w:hAnsi="Calibri"/>
                <w:sz w:val="22"/>
              </w:rPr>
              <w:t>$2.51</w:t>
            </w:r>
          </w:p>
        </w:tc>
        <w:tc>
          <w:tcPr>
            <w:tcW w:type="dxa" w:w="1728"/>
          </w:tcPr>
          <w:p>
            <w:r>
              <w:rPr>
                <w:rFonts w:ascii="Calibri" w:hAnsi="Calibri"/>
                <w:b/>
                <w:color w:val="30A46C"/>
                <w:sz w:val="22"/>
              </w:rPr>
              <w:t>+7.9%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$4.38</w:t>
            </w:r>
          </w:p>
        </w:tc>
        <w:tc>
          <w:tcPr>
            <w:tcW w:type="dxa" w:w="1728"/>
          </w:tcPr>
          <w:p>
            <w:r>
              <w:rPr>
                <w:rFonts w:ascii="Calibri" w:hAnsi="Calibri"/>
                <w:sz w:val="22"/>
              </w:rPr>
              <w:t>$4.07</w:t>
            </w:r>
          </w:p>
        </w:tc>
        <w:tc>
          <w:tcPr>
            <w:tcW w:type="dxa" w:w="1728"/>
          </w:tcPr>
          <w:p>
            <w:r>
              <w:rPr>
                <w:rFonts w:ascii="Calibri" w:hAnsi="Calibri"/>
                <w:b/>
                <w:color w:val="30A46C"/>
                <w:sz w:val="22"/>
              </w:rPr>
              <w:t>+7.6%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$5.75</w:t>
            </w:r>
          </w:p>
        </w:tc>
        <w:tc>
          <w:tcPr>
            <w:tcW w:type="dxa" w:w="1728"/>
          </w:tcPr>
          <w:p>
            <w:r>
              <w:rPr>
                <w:rFonts w:ascii="Calibri" w:hAnsi="Calibri"/>
                <w:sz w:val="22"/>
              </w:rPr>
              <w:t>$5.64</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$2.77</w:t>
            </w:r>
          </w:p>
        </w:tc>
        <w:tc>
          <w:tcPr>
            <w:tcW w:type="dxa" w:w="1728"/>
          </w:tcPr>
          <w:p>
            <w:r>
              <w:rPr>
                <w:rFonts w:ascii="Calibri" w:hAnsi="Calibri"/>
                <w:sz w:val="22"/>
              </w:rPr>
              <w:t>$2.78</w:t>
            </w:r>
          </w:p>
        </w:tc>
        <w:tc>
          <w:tcPr>
            <w:tcW w:type="dxa" w:w="1728"/>
          </w:tcPr>
          <w:p>
            <w:r>
              <w:rPr>
                <w:rFonts w:ascii="Calibri" w:hAnsi="Calibri"/>
                <w:b/>
                <w:color w:val="E5484D"/>
                <w:sz w:val="22"/>
              </w:rPr>
              <w:t>-0.4%</w:t>
            </w:r>
          </w:p>
        </w:tc>
        <w:tc>
          <w:tcPr>
            <w:tcW w:type="dxa" w:w="1728"/>
          </w:tcPr>
          <w:p>
            <w:r>
              <w:rPr>
                <w:rFonts w:ascii="Calibri" w:hAnsi="Calibri"/>
                <w:sz w:val="22"/>
              </w:rPr>
              <w:t>Slight Miss</w:t>
            </w:r>
          </w:p>
        </w:tc>
      </w:tr>
      <w:tr>
        <w:tc>
          <w:tcPr>
            <w:tcW w:type="dxa" w:w="1728"/>
          </w:tcPr>
          <w:p>
            <w:r>
              <w:rPr>
                <w:rFonts w:ascii="Calibri" w:hAnsi="Calibri"/>
                <w:sz w:val="22"/>
              </w:rPr>
              <w:t>Q1 2026</w:t>
            </w:r>
          </w:p>
        </w:tc>
        <w:tc>
          <w:tcPr>
            <w:tcW w:type="dxa" w:w="1728"/>
          </w:tcPr>
          <w:p>
            <w:r>
              <w:rPr>
                <w:rFonts w:ascii="Calibri" w:hAnsi="Calibri"/>
                <w:sz w:val="22"/>
              </w:rPr>
              <w:t>$3.60</w:t>
            </w:r>
          </w:p>
        </w:tc>
        <w:tc>
          <w:tcPr>
            <w:tcW w:type="dxa" w:w="1728"/>
          </w:tcPr>
          <w:p>
            <w:r>
              <w:rPr>
                <w:rFonts w:ascii="Calibri" w:hAnsi="Calibri"/>
                <w:sz w:val="22"/>
              </w:rPr>
              <w:t>$3.18</w:t>
            </w:r>
          </w:p>
        </w:tc>
        <w:tc>
          <w:tcPr>
            <w:tcW w:type="dxa" w:w="1728"/>
          </w:tcPr>
          <w:p>
            <w:r>
              <w:rPr>
                <w:rFonts w:ascii="Calibri" w:hAnsi="Calibri"/>
                <w:b/>
                <w:color w:val="30A46C"/>
                <w:sz w:val="22"/>
              </w:rPr>
              <w:t>+13.2%</w:t>
            </w:r>
          </w:p>
        </w:tc>
        <w:tc>
          <w:tcPr>
            <w:tcW w:type="dxa" w:w="1728"/>
          </w:tcPr>
          <w:p>
            <w:r>
              <w:rPr>
                <w:rFonts w:ascii="Calibri" w:hAnsi="Calibri"/>
                <w:sz w:val="22"/>
              </w:rPr>
              <w:t>Beat</w:t>
            </w:r>
          </w:p>
        </w:tc>
      </w:tr>
    </w:tbl>
    <w:p>
      <w:pPr>
        <w:pStyle w:val="Heading3"/>
      </w:pPr>
      <w:r>
        <w:rPr>
          <w:rFonts w:ascii="Calibri" w:hAnsi="Calibri"/>
          <w:b/>
          <w:color w:val="3B4259"/>
          <w:sz w:val="24"/>
        </w:rPr>
        <w:t>Net Yields — Constant 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+13.28%</w:t>
            </w:r>
          </w:p>
        </w:tc>
        <w:tc>
          <w:tcPr>
            <w:tcW w:type="dxa" w:w="1728"/>
          </w:tcPr>
          <w:p>
            <w:r>
              <w:rPr>
                <w:rFonts w:ascii="Calibri" w:hAnsi="Calibri"/>
                <w:sz w:val="22"/>
              </w:rPr>
              <w:t>+10.71%</w:t>
            </w:r>
          </w:p>
        </w:tc>
        <w:tc>
          <w:tcPr>
            <w:tcW w:type="dxa" w:w="1728"/>
          </w:tcPr>
          <w:p>
            <w:r>
              <w:rPr>
                <w:rFonts w:ascii="Calibri" w:hAnsi="Calibri"/>
                <w:b/>
                <w:color w:val="30A46C"/>
                <w:sz w:val="22"/>
              </w:rPr>
              <w:t>+257 bps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+7.88%</w:t>
            </w:r>
          </w:p>
        </w:tc>
        <w:tc>
          <w:tcPr>
            <w:tcW w:type="dxa" w:w="1728"/>
          </w:tcPr>
          <w:p>
            <w:r>
              <w:rPr>
                <w:rFonts w:ascii="Calibri" w:hAnsi="Calibri"/>
                <w:sz w:val="22"/>
              </w:rPr>
              <w:t>+8.26%</w:t>
            </w:r>
          </w:p>
        </w:tc>
        <w:tc>
          <w:tcPr>
            <w:tcW w:type="dxa" w:w="1728"/>
          </w:tcPr>
          <w:p>
            <w:r>
              <w:rPr>
                <w:rFonts w:ascii="Calibri" w:hAnsi="Calibri"/>
                <w:b/>
                <w:color w:val="E5484D"/>
                <w:sz w:val="22"/>
              </w:rPr>
              <w:t>-38 bps</w:t>
            </w:r>
          </w:p>
        </w:tc>
        <w:tc>
          <w:tcPr>
            <w:tcW w:type="dxa" w:w="1728"/>
          </w:tcPr>
          <w:p>
            <w:r>
              <w:rPr>
                <w:rFonts w:ascii="Calibri" w:hAnsi="Calibri"/>
                <w:sz w:val="22"/>
              </w:rPr>
              <w:t>Slight Miss</w:t>
            </w:r>
          </w:p>
        </w:tc>
      </w:tr>
      <w:tr>
        <w:tc>
          <w:tcPr>
            <w:tcW w:type="dxa" w:w="1728"/>
          </w:tcPr>
          <w:p>
            <w:r>
              <w:rPr>
                <w:rFonts w:ascii="Calibri" w:hAnsi="Calibri"/>
                <w:sz w:val="22"/>
              </w:rPr>
              <w:t>Q4 2024</w:t>
            </w:r>
          </w:p>
        </w:tc>
        <w:tc>
          <w:tcPr>
            <w:tcW w:type="dxa" w:w="1728"/>
          </w:tcPr>
          <w:p>
            <w:r>
              <w:rPr>
                <w:rFonts w:ascii="Calibri" w:hAnsi="Calibri"/>
                <w:sz w:val="22"/>
              </w:rPr>
              <w:t>+7.35%</w:t>
            </w:r>
          </w:p>
        </w:tc>
        <w:tc>
          <w:tcPr>
            <w:tcW w:type="dxa" w:w="1728"/>
          </w:tcPr>
          <w:p>
            <w:r>
              <w:rPr>
                <w:rFonts w:ascii="Calibri" w:hAnsi="Calibri"/>
                <w:sz w:val="22"/>
              </w:rPr>
              <w:t>+5.69%</w:t>
            </w:r>
          </w:p>
        </w:tc>
        <w:tc>
          <w:tcPr>
            <w:tcW w:type="dxa" w:w="1728"/>
          </w:tcPr>
          <w:p>
            <w:r>
              <w:rPr>
                <w:rFonts w:ascii="Calibri" w:hAnsi="Calibri"/>
                <w:b/>
                <w:color w:val="30A46C"/>
                <w:sz w:val="22"/>
              </w:rPr>
              <w:t>+166 bps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+5.61%</w:t>
            </w:r>
          </w:p>
        </w:tc>
        <w:tc>
          <w:tcPr>
            <w:tcW w:type="dxa" w:w="1728"/>
          </w:tcPr>
          <w:p>
            <w:r>
              <w:rPr>
                <w:rFonts w:ascii="Calibri" w:hAnsi="Calibri"/>
                <w:sz w:val="22"/>
              </w:rPr>
              <w:t>+5.07%</w:t>
            </w:r>
          </w:p>
        </w:tc>
        <w:tc>
          <w:tcPr>
            <w:tcW w:type="dxa" w:w="1728"/>
          </w:tcPr>
          <w:p>
            <w:r>
              <w:rPr>
                <w:rFonts w:ascii="Calibri" w:hAnsi="Calibri"/>
                <w:b/>
                <w:color w:val="30A46C"/>
                <w:sz w:val="22"/>
              </w:rPr>
              <w:t>+54 bps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+5.17%</w:t>
            </w:r>
          </w:p>
        </w:tc>
        <w:tc>
          <w:tcPr>
            <w:tcW w:type="dxa" w:w="1728"/>
          </w:tcPr>
          <w:p>
            <w:r>
              <w:rPr>
                <w:rFonts w:ascii="Calibri" w:hAnsi="Calibri"/>
                <w:sz w:val="22"/>
              </w:rPr>
              <w:t>+5.11%</w:t>
            </w:r>
          </w:p>
        </w:tc>
        <w:tc>
          <w:tcPr>
            <w:tcW w:type="dxa" w:w="1728"/>
          </w:tcPr>
          <w:p>
            <w:r>
              <w:rPr>
                <w:rFonts w:ascii="Calibri" w:hAnsi="Calibri"/>
                <w:b/>
                <w:color w:val="30A46C"/>
                <w:sz w:val="22"/>
              </w:rPr>
              <w:t>+6 bps</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+2.41%</w:t>
            </w:r>
          </w:p>
        </w:tc>
        <w:tc>
          <w:tcPr>
            <w:tcW w:type="dxa" w:w="1728"/>
          </w:tcPr>
          <w:p>
            <w:r>
              <w:rPr>
                <w:rFonts w:ascii="Calibri" w:hAnsi="Calibri"/>
                <w:sz w:val="22"/>
              </w:rPr>
              <w:t>+2.83%</w:t>
            </w:r>
          </w:p>
        </w:tc>
        <w:tc>
          <w:tcPr>
            <w:tcW w:type="dxa" w:w="1728"/>
          </w:tcPr>
          <w:p>
            <w:r>
              <w:rPr>
                <w:rFonts w:ascii="Calibri" w:hAnsi="Calibri"/>
                <w:b/>
                <w:color w:val="E5484D"/>
                <w:sz w:val="22"/>
              </w:rPr>
              <w:t>-42 bps</w:t>
            </w:r>
          </w:p>
        </w:tc>
        <w:tc>
          <w:tcPr>
            <w:tcW w:type="dxa" w:w="1728"/>
          </w:tcPr>
          <w:p>
            <w:r>
              <w:rPr>
                <w:rFonts w:ascii="Calibri" w:hAnsi="Calibri"/>
                <w:sz w:val="22"/>
              </w:rPr>
              <w:t>Slight Miss</w:t>
            </w:r>
          </w:p>
        </w:tc>
      </w:tr>
      <w:tr>
        <w:tc>
          <w:tcPr>
            <w:tcW w:type="dxa" w:w="1728"/>
          </w:tcPr>
          <w:p>
            <w:r>
              <w:rPr>
                <w:rFonts w:ascii="Calibri" w:hAnsi="Calibri"/>
                <w:sz w:val="22"/>
              </w:rPr>
              <w:t>Q4 2025</w:t>
            </w:r>
          </w:p>
        </w:tc>
        <w:tc>
          <w:tcPr>
            <w:tcW w:type="dxa" w:w="1728"/>
          </w:tcPr>
          <w:p>
            <w:r>
              <w:rPr>
                <w:rFonts w:ascii="Calibri" w:hAnsi="Calibri"/>
                <w:sz w:val="22"/>
              </w:rPr>
              <w:t>+2.50%</w:t>
            </w:r>
          </w:p>
        </w:tc>
        <w:tc>
          <w:tcPr>
            <w:tcW w:type="dxa" w:w="1728"/>
          </w:tcPr>
          <w:p>
            <w:r>
              <w:rPr>
                <w:rFonts w:ascii="Calibri" w:hAnsi="Calibri"/>
                <w:sz w:val="22"/>
              </w:rPr>
              <w:t>+2.72%</w:t>
            </w:r>
          </w:p>
        </w:tc>
        <w:tc>
          <w:tcPr>
            <w:tcW w:type="dxa" w:w="1728"/>
          </w:tcPr>
          <w:p>
            <w:r>
              <w:rPr>
                <w:rFonts w:ascii="Calibri" w:hAnsi="Calibri"/>
                <w:b/>
                <w:color w:val="E5484D"/>
                <w:sz w:val="22"/>
              </w:rPr>
              <w:t>-22 bps</w:t>
            </w:r>
          </w:p>
        </w:tc>
        <w:tc>
          <w:tcPr>
            <w:tcW w:type="dxa" w:w="1728"/>
          </w:tcPr>
          <w:p>
            <w:r>
              <w:rPr>
                <w:rFonts w:ascii="Calibri" w:hAnsi="Calibri"/>
                <w:sz w:val="22"/>
              </w:rPr>
              <w:t>Slight Miss</w:t>
            </w:r>
          </w:p>
        </w:tc>
      </w:tr>
      <w:tr>
        <w:tc>
          <w:tcPr>
            <w:tcW w:type="dxa" w:w="1728"/>
          </w:tcPr>
          <w:p>
            <w:r>
              <w:rPr>
                <w:rFonts w:ascii="Calibri" w:hAnsi="Calibri"/>
                <w:sz w:val="22"/>
              </w:rPr>
              <w:t>Q1 2026</w:t>
            </w:r>
          </w:p>
        </w:tc>
        <w:tc>
          <w:tcPr>
            <w:tcW w:type="dxa" w:w="1728"/>
          </w:tcPr>
          <w:p>
            <w:r>
              <w:rPr>
                <w:rFonts w:ascii="Calibri" w:hAnsi="Calibri"/>
                <w:sz w:val="22"/>
              </w:rPr>
              <w:t>+2.03%</w:t>
            </w:r>
          </w:p>
        </w:tc>
        <w:tc>
          <w:tcPr>
            <w:tcW w:type="dxa" w:w="1728"/>
          </w:tcPr>
          <w:p>
            <w:r>
              <w:rPr>
                <w:rFonts w:ascii="Calibri" w:hAnsi="Calibri"/>
                <w:sz w:val="22"/>
              </w:rPr>
              <w:t>+1.78%</w:t>
            </w:r>
          </w:p>
        </w:tc>
        <w:tc>
          <w:tcPr>
            <w:tcW w:type="dxa" w:w="1728"/>
          </w:tcPr>
          <w:p>
            <w:r>
              <w:rPr>
                <w:rFonts w:ascii="Calibri" w:hAnsi="Calibri"/>
                <w:b/>
                <w:color w:val="30A46C"/>
                <w:sz w:val="22"/>
              </w:rPr>
              <w:t>+25 bps</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RCL has beaten Adjusted EPS consensus in 7 of the last 8 quarters, with an average beat of ~+9% excluding the Q4 2025 near-miss; net yield beats are less consistent (5 beats, 3 misses/in-line), suggesting the EPS beat engine is partly driven by cost discipline and JV performance rather than yield alone.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30 Q1 earnings call; the initial Q2 and FY 2026 ranges remain the baseline. Tone on the April call was constructive — management framed all headwinds as external and transitory — and no post-earnings 8-K or conference update has changed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30, 2026 Q1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$3.83 – $3.93</w:t>
            </w:r>
          </w:p>
        </w:tc>
        <w:tc>
          <w:tcPr>
            <w:tcW w:type="dxa" w:w="1728"/>
          </w:tcPr>
          <w:p>
            <w:r>
              <w:rPr>
                <w:rFonts w:ascii="Calibri" w:hAnsi="Calibri"/>
                <w:sz w:val="22"/>
              </w:rPr>
              <w:t>—</w:t>
            </w:r>
          </w:p>
        </w:tc>
        <w:tc>
          <w:tcPr>
            <w:tcW w:type="dxa" w:w="1728"/>
          </w:tcPr>
          <w:p>
            <w:r>
              <w:rPr>
                <w:rFonts w:ascii="Calibri" w:hAnsi="Calibri"/>
                <w:sz w:val="22"/>
              </w:rPr>
              <w:t>$4.02</w:t>
            </w:r>
          </w:p>
        </w:tc>
        <w:tc>
          <w:tcPr>
            <w:tcW w:type="dxa" w:w="1728"/>
          </w:tcPr>
          <w:p>
            <w:r>
              <w:rPr>
                <w:rFonts w:ascii="Calibri" w:hAnsi="Calibri"/>
                <w:sz w:val="22"/>
              </w:rPr>
              <w:t>No post-earnings revision; consensus sits ~3.6% above midpoint, implying Street expects a modest beat consistent with historical pattern</w:t>
            </w:r>
          </w:p>
        </w:tc>
      </w:tr>
      <w:tr>
        <w:tc>
          <w:tcPr>
            <w:tcW w:type="dxa" w:w="1728"/>
          </w:tcPr>
          <w:p>
            <w:r>
              <w:rPr>
                <w:rFonts w:ascii="Calibri" w:hAnsi="Calibri"/>
                <w:sz w:val="22"/>
              </w:rPr>
              <w:t>Q2 2026 Net Yields CC Growth</w:t>
            </w:r>
          </w:p>
        </w:tc>
        <w:tc>
          <w:tcPr>
            <w:tcW w:type="dxa" w:w="1728"/>
          </w:tcPr>
          <w:p>
            <w:r>
              <w:rPr>
                <w:rFonts w:ascii="Calibri" w:hAnsi="Calibri"/>
                <w:sz w:val="22"/>
              </w:rPr>
              <w:t>~+0.2% CC</w:t>
            </w:r>
          </w:p>
        </w:tc>
        <w:tc>
          <w:tcPr>
            <w:tcW w:type="dxa" w:w="1728"/>
          </w:tcPr>
          <w:p>
            <w:r>
              <w:rPr>
                <w:rFonts w:ascii="Calibri" w:hAnsi="Calibri"/>
                <w:sz w:val="22"/>
              </w:rPr>
              <w:t>—</w:t>
            </w:r>
          </w:p>
        </w:tc>
        <w:tc>
          <w:tcPr>
            <w:tcW w:type="dxa" w:w="1728"/>
          </w:tcPr>
          <w:p>
            <w:r>
              <w:rPr>
                <w:rFonts w:ascii="Calibri" w:hAnsi="Calibri"/>
                <w:sz w:val="22"/>
              </w:rPr>
              <w:t>+0.58% CC</w:t>
            </w:r>
          </w:p>
        </w:tc>
        <w:tc>
          <w:tcPr>
            <w:tcW w:type="dxa" w:w="1728"/>
          </w:tcPr>
          <w:p>
            <w:r>
              <w:rPr>
                <w:rFonts w:ascii="Calibri" w:hAnsi="Calibri"/>
                <w:sz w:val="22"/>
              </w:rPr>
              <w:t>Consensus ~38 bps above guidance midpoint; reflects Street view that Mediterranean booking recovery was faster than management assumed</w:t>
            </w:r>
          </w:p>
        </w:tc>
      </w:tr>
      <w:tr>
        <w:tc>
          <w:tcPr>
            <w:tcW w:type="dxa" w:w="1728"/>
          </w:tcPr>
          <w:p>
            <w:r>
              <w:rPr>
                <w:rFonts w:ascii="Calibri" w:hAnsi="Calibri"/>
                <w:sz w:val="22"/>
              </w:rPr>
              <w:t>Q2 2026 NCC ex-Fuel/APCD CC Growth</w:t>
            </w:r>
          </w:p>
        </w:tc>
        <w:tc>
          <w:tcPr>
            <w:tcW w:type="dxa" w:w="1728"/>
          </w:tcPr>
          <w:p>
            <w:r>
              <w:rPr>
                <w:rFonts w:ascii="Calibri" w:hAnsi="Calibri"/>
                <w:sz w:val="22"/>
              </w:rPr>
              <w:t>+4.6% to +5.1% CC</w:t>
            </w:r>
          </w:p>
        </w:tc>
        <w:tc>
          <w:tcPr>
            <w:tcW w:type="dxa" w:w="1728"/>
          </w:tcPr>
          <w:p>
            <w:r>
              <w:rPr>
                <w:rFonts w:ascii="Calibri" w:hAnsi="Calibri"/>
                <w:sz w:val="22"/>
              </w:rPr>
              <w:t>—</w:t>
            </w:r>
          </w:p>
        </w:tc>
        <w:tc>
          <w:tcPr>
            <w:tcW w:type="dxa" w:w="1728"/>
          </w:tcPr>
          <w:p>
            <w:r>
              <w:rPr>
                <w:rFonts w:ascii="Calibri" w:hAnsi="Calibri"/>
                <w:sz w:val="22"/>
              </w:rPr>
              <w:t>+4.73% CC</w:t>
            </w:r>
          </w:p>
        </w:tc>
        <w:tc>
          <w:tcPr>
            <w:tcW w:type="dxa" w:w="1728"/>
          </w:tcPr>
          <w:p>
            <w:r>
              <w:rPr>
                <w:rFonts w:ascii="Calibri" w:hAnsi="Calibri"/>
                <w:sz w:val="22"/>
              </w:rPr>
              <w:t>Within guidance range; dry-dock and crew travel cost headwinds (~400 bps) well-flagged</w:t>
            </w:r>
          </w:p>
        </w:tc>
      </w:tr>
      <w:tr>
        <w:tc>
          <w:tcPr>
            <w:tcW w:type="dxa" w:w="1728"/>
          </w:tcPr>
          <w:p>
            <w:r>
              <w:rPr>
                <w:rFonts w:ascii="Calibri" w:hAnsi="Calibri"/>
                <w:sz w:val="22"/>
              </w:rPr>
              <w:t>FY 2026 Adj. EPS</w:t>
            </w:r>
          </w:p>
        </w:tc>
        <w:tc>
          <w:tcPr>
            <w:tcW w:type="dxa" w:w="1728"/>
          </w:tcPr>
          <w:p>
            <w:r>
              <w:rPr>
                <w:rFonts w:ascii="Calibri" w:hAnsi="Calibri"/>
                <w:sz w:val="22"/>
              </w:rPr>
              <w:t>$17.10 – $17.50</w:t>
            </w:r>
          </w:p>
        </w:tc>
        <w:tc>
          <w:tcPr>
            <w:tcW w:type="dxa" w:w="1728"/>
          </w:tcPr>
          <w:p>
            <w:r>
              <w:rPr>
                <w:rFonts w:ascii="Calibri" w:hAnsi="Calibri"/>
                <w:sz w:val="22"/>
              </w:rPr>
              <w:t>—</w:t>
            </w:r>
          </w:p>
        </w:tc>
        <w:tc>
          <w:tcPr>
            <w:tcW w:type="dxa" w:w="1728"/>
          </w:tcPr>
          <w:p>
            <w:r>
              <w:rPr>
                <w:rFonts w:ascii="Calibri" w:hAnsi="Calibri"/>
                <w:sz w:val="22"/>
              </w:rPr>
              <w:t>$17.42</w:t>
            </w:r>
          </w:p>
        </w:tc>
        <w:tc>
          <w:tcPr>
            <w:tcW w:type="dxa" w:w="1728"/>
          </w:tcPr>
          <w:p>
            <w:r>
              <w:rPr>
                <w:rFonts w:ascii="Calibri" w:hAnsi="Calibri"/>
                <w:sz w:val="22"/>
              </w:rPr>
              <w:t>No revision; consensus near midpoint ($17.30); includes $0.62/share fuel headwind and $0.12/share lower TUI JV contribution vs. prior guidance</w:t>
            </w:r>
          </w:p>
        </w:tc>
      </w:tr>
      <w:tr>
        <w:tc>
          <w:tcPr>
            <w:tcW w:type="dxa" w:w="1728"/>
          </w:tcPr>
          <w:p>
            <w:r>
              <w:rPr>
                <w:rFonts w:ascii="Calibri" w:hAnsi="Calibri"/>
                <w:sz w:val="22"/>
              </w:rPr>
              <w:t>FY 2026 Net Yields CC Growth</w:t>
            </w:r>
          </w:p>
        </w:tc>
        <w:tc>
          <w:tcPr>
            <w:tcW w:type="dxa" w:w="1728"/>
          </w:tcPr>
          <w:p>
            <w:r>
              <w:rPr>
                <w:rFonts w:ascii="Calibri" w:hAnsi="Calibri"/>
                <w:sz w:val="22"/>
              </w:rPr>
              <w:t>+1.5% to +2.5% CC</w:t>
            </w:r>
          </w:p>
        </w:tc>
        <w:tc>
          <w:tcPr>
            <w:tcW w:type="dxa" w:w="1728"/>
          </w:tcPr>
          <w:p>
            <w:r>
              <w:rPr>
                <w:rFonts w:ascii="Calibri" w:hAnsi="Calibri"/>
                <w:sz w:val="22"/>
              </w:rPr>
              <w:t>—</w:t>
            </w:r>
          </w:p>
        </w:tc>
        <w:tc>
          <w:tcPr>
            <w:tcW w:type="dxa" w:w="1728"/>
          </w:tcPr>
          <w:p>
            <w:r>
              <w:rPr>
                <w:rFonts w:ascii="Calibri" w:hAnsi="Calibri"/>
                <w:sz w:val="22"/>
              </w:rPr>
              <w:t>+1.80% CC</w:t>
            </w:r>
          </w:p>
        </w:tc>
        <w:tc>
          <w:tcPr>
            <w:tcW w:type="dxa" w:w="1728"/>
          </w:tcPr>
          <w:p>
            <w:r>
              <w:rPr>
                <w:rFonts w:ascii="Calibri" w:hAnsi="Calibri"/>
                <w:sz w:val="22"/>
              </w:rPr>
              <w:t>Consensus near low end of range; reflects ongoing caution on Mediterranean/West Coast Mexico mix in H1</w:t>
            </w:r>
          </w:p>
        </w:tc>
      </w:tr>
      <w:tr>
        <w:tc>
          <w:tcPr>
            <w:tcW w:type="dxa" w:w="1728"/>
          </w:tcPr>
          <w:p>
            <w:r>
              <w:rPr>
                <w:rFonts w:ascii="Calibri" w:hAnsi="Calibri"/>
                <w:sz w:val="22"/>
              </w:rPr>
              <w:t>FY 2026 NCC ex-Fuel/APCD CC Growth</w:t>
            </w:r>
          </w:p>
        </w:tc>
        <w:tc>
          <w:tcPr>
            <w:tcW w:type="dxa" w:w="1728"/>
          </w:tcPr>
          <w:p>
            <w:r>
              <w:rPr>
                <w:rFonts w:ascii="Calibri" w:hAnsi="Calibri"/>
                <w:sz w:val="22"/>
              </w:rPr>
              <w:t>~Flat CC (or 50 bps better than prior guidance)</w:t>
            </w:r>
          </w:p>
        </w:tc>
        <w:tc>
          <w:tcPr>
            <w:tcW w:type="dxa" w:w="1728"/>
          </w:tcPr>
          <w:p>
            <w:r>
              <w:rPr>
                <w:rFonts w:ascii="Calibri" w:hAnsi="Calibri"/>
                <w:sz w:val="22"/>
              </w:rPr>
              <w:t>—</w:t>
            </w:r>
          </w:p>
        </w:tc>
        <w:tc>
          <w:tcPr>
            <w:tcW w:type="dxa" w:w="1728"/>
          </w:tcPr>
          <w:p>
            <w:r>
              <w:rPr>
                <w:rFonts w:ascii="Calibri" w:hAnsi="Calibri"/>
                <w:sz w:val="22"/>
              </w:rPr>
              <w:t>+0.13% CC</w:t>
            </w:r>
          </w:p>
        </w:tc>
        <w:tc>
          <w:tcPr>
            <w:tcW w:type="dxa" w:w="1728"/>
          </w:tcPr>
          <w:p>
            <w:r>
              <w:rPr>
                <w:rFonts w:ascii="Calibri" w:hAnsi="Calibri"/>
                <w:sz w:val="22"/>
              </w:rPr>
              <w:t>Consensus essentially in line; management cited structural efficiency gains and AI/technology deployment as drivers of near-flat cost growth</w:t>
            </w:r>
          </w:p>
        </w:tc>
      </w:tr>
      <w:tr>
        <w:tc>
          <w:tcPr>
            <w:tcW w:type="dxa" w:w="1728"/>
          </w:tcPr>
          <w:p>
            <w:r>
              <w:rPr>
                <w:rFonts w:ascii="Calibri" w:hAnsi="Calibri"/>
                <w:sz w:val="22"/>
              </w:rPr>
              <w:t>FY 2026 Fuel Expense</w:t>
            </w:r>
          </w:p>
        </w:tc>
        <w:tc>
          <w:tcPr>
            <w:tcW w:type="dxa" w:w="1728"/>
          </w:tcPr>
          <w:p>
            <w:r>
              <w:rPr>
                <w:rFonts w:ascii="Calibri" w:hAnsi="Calibri"/>
                <w:sz w:val="22"/>
              </w:rPr>
              <w:t>~$1.35B (59% hedged for remainder of 2026 at below-market rates)</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Key wildcard; forward curve ~4% below current spot as of Q1 call; any oil price move materially impacts FY EPS</w:t>
            </w:r>
          </w:p>
        </w:tc>
      </w:tr>
    </w:tbl>
    <w:p>
      <w:r>
        <w:rPr>
          <w:rFonts w:ascii="Calibri" w:hAnsi="Calibri"/>
          <w:i/>
          <w:color w:val="525866"/>
          <w:sz w:val="22"/>
        </w:rPr>
        <w:t>Sources: RCL Q1 2026 Earnings Release (April 30, 2026); RCL Q1 2026 Earnings Call Transcript (April 30,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EPS consensus is up ~$0.08 from the post-print baseline and FY EPS is up ~$0.05 — suggesting the Street is incrementally more confident that geopolitical headwinds are easing faster than management guided. The gap between consensus and guidance midpoint is narrow enough that a beat is expected but not aggressively priced.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Post-Q1 Baseline)</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$3.94</w:t>
            </w:r>
          </w:p>
        </w:tc>
        <w:tc>
          <w:tcPr>
            <w:tcW w:type="dxa" w:w="1080"/>
          </w:tcPr>
          <w:p>
            <w:r>
              <w:rPr>
                <w:rFonts w:ascii="Calibri" w:hAnsi="Calibri"/>
                <w:sz w:val="22"/>
              </w:rPr>
              <w:t>$4.02</w:t>
            </w:r>
          </w:p>
        </w:tc>
        <w:tc>
          <w:tcPr>
            <w:tcW w:type="dxa" w:w="1080"/>
          </w:tcPr>
          <w:p>
            <w:r>
              <w:rPr>
                <w:rFonts w:ascii="Calibri" w:hAnsi="Calibri"/>
                <w:b/>
                <w:color w:val="30A46C"/>
                <w:sz w:val="22"/>
              </w:rPr>
              <w:t>+2.0%</w:t>
            </w:r>
          </w:p>
        </w:tc>
        <w:tc>
          <w:tcPr>
            <w:tcW w:type="dxa" w:w="1080"/>
          </w:tcPr>
          <w:p>
            <w:r>
              <w:rPr>
                <w:rFonts w:ascii="Calibri" w:hAnsi="Calibri"/>
                <w:sz w:val="22"/>
              </w:rPr>
              <w:t>$3.83–$3.93 (mid: $3.88)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+3.6% above midpoint</w:t>
            </w:r>
          </w:p>
        </w:tc>
      </w:tr>
      <w:tr>
        <w:tc>
          <w:tcPr>
            <w:tcW w:type="dxa" w:w="1080"/>
          </w:tcPr>
          <w:p>
            <w:r>
              <w:rPr>
                <w:rFonts w:ascii="Calibri" w:hAnsi="Calibri"/>
                <w:sz w:val="22"/>
              </w:rPr>
              <w:t>Adj. EPS — FY 2026</w:t>
            </w:r>
          </w:p>
        </w:tc>
        <w:tc>
          <w:tcPr>
            <w:tcW w:type="dxa" w:w="1080"/>
          </w:tcPr>
          <w:p>
            <w:r>
              <w:rPr>
                <w:rFonts w:ascii="Calibri" w:hAnsi="Calibri"/>
                <w:sz w:val="22"/>
              </w:rPr>
              <w:t>$17.38</w:t>
            </w:r>
          </w:p>
        </w:tc>
        <w:tc>
          <w:tcPr>
            <w:tcW w:type="dxa" w:w="1080"/>
          </w:tcPr>
          <w:p>
            <w:r>
              <w:rPr>
                <w:rFonts w:ascii="Calibri" w:hAnsi="Calibri"/>
                <w:sz w:val="22"/>
              </w:rPr>
              <w:t>$17.42</w:t>
            </w:r>
          </w:p>
        </w:tc>
        <w:tc>
          <w:tcPr>
            <w:tcW w:type="dxa" w:w="1080"/>
          </w:tcPr>
          <w:p>
            <w:r>
              <w:rPr>
                <w:rFonts w:ascii="Calibri" w:hAnsi="Calibri"/>
                <w:b/>
                <w:color w:val="30A46C"/>
                <w:sz w:val="22"/>
              </w:rPr>
              <w:t>+0.3%</w:t>
            </w:r>
          </w:p>
        </w:tc>
        <w:tc>
          <w:tcPr>
            <w:tcW w:type="dxa" w:w="1080"/>
          </w:tcPr>
          <w:p>
            <w:r>
              <w:rPr>
                <w:rFonts w:ascii="Calibri" w:hAnsi="Calibri"/>
                <w:sz w:val="22"/>
              </w:rPr>
              <w:t>$17.10–$17.50 (mid: $17.30)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midpoint</w:t>
            </w:r>
          </w:p>
        </w:tc>
      </w:tr>
      <w:tr>
        <w:tc>
          <w:tcPr>
            <w:tcW w:type="dxa" w:w="1080"/>
          </w:tcPr>
          <w:p>
            <w:r>
              <w:rPr>
                <w:rFonts w:ascii="Calibri" w:hAnsi="Calibri"/>
                <w:sz w:val="22"/>
              </w:rPr>
              <w:t>Net Revenues — Q2 2026</w:t>
            </w:r>
          </w:p>
        </w:tc>
        <w:tc>
          <w:tcPr>
            <w:tcW w:type="dxa" w:w="1080"/>
          </w:tcPr>
          <w:p>
            <w:r>
              <w:rPr>
                <w:rFonts w:ascii="Calibri" w:hAnsi="Calibri"/>
                <w:sz w:val="22"/>
              </w:rPr>
              <w:t>$3.889B</w:t>
            </w:r>
          </w:p>
        </w:tc>
        <w:tc>
          <w:tcPr>
            <w:tcW w:type="dxa" w:w="1080"/>
          </w:tcPr>
          <w:p>
            <w:r>
              <w:rPr>
                <w:rFonts w:ascii="Calibri" w:hAnsi="Calibri"/>
                <w:sz w:val="22"/>
              </w:rPr>
              <w:t>$3.893B</w:t>
            </w:r>
          </w:p>
        </w:tc>
        <w:tc>
          <w:tcPr>
            <w:tcW w:type="dxa" w:w="1080"/>
          </w:tcPr>
          <w:p>
            <w:r>
              <w:rPr>
                <w:rFonts w:ascii="Calibri" w:hAnsi="Calibri"/>
                <w:sz w:val="22"/>
              </w:rPr>
              <w:t>+0.1%</w:t>
            </w:r>
          </w:p>
        </w:tc>
        <w:tc>
          <w:tcPr>
            <w:tcW w:type="dxa" w:w="1080"/>
          </w:tcPr>
          <w:p>
            <w:r>
              <w:rPr>
                <w:rFonts w:ascii="Calibri" w:hAnsi="Calibri"/>
                <w:sz w:val="22"/>
              </w:rPr>
              <w:t>~10% FY growth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Revenues — FY 2026</w:t>
            </w:r>
          </w:p>
        </w:tc>
        <w:tc>
          <w:tcPr>
            <w:tcW w:type="dxa" w:w="1080"/>
          </w:tcPr>
          <w:p>
            <w:r>
              <w:rPr>
                <w:rFonts w:ascii="Calibri" w:hAnsi="Calibri"/>
                <w:sz w:val="22"/>
              </w:rPr>
              <w:t>$15.989B</w:t>
            </w:r>
          </w:p>
        </w:tc>
        <w:tc>
          <w:tcPr>
            <w:tcW w:type="dxa" w:w="1080"/>
          </w:tcPr>
          <w:p>
            <w:r>
              <w:rPr>
                <w:rFonts w:ascii="Calibri" w:hAnsi="Calibri"/>
                <w:sz w:val="22"/>
              </w:rPr>
              <w:t>$15.950B</w:t>
            </w:r>
          </w:p>
        </w:tc>
        <w:tc>
          <w:tcPr>
            <w:tcW w:type="dxa" w:w="1080"/>
          </w:tcPr>
          <w:p>
            <w:r>
              <w:rPr>
                <w:rFonts w:ascii="Calibri" w:hAnsi="Calibri"/>
                <w:sz w:val="22"/>
              </w:rPr>
              <w:t>-0.2%</w:t>
            </w:r>
          </w:p>
        </w:tc>
        <w:tc>
          <w:tcPr>
            <w:tcW w:type="dxa" w:w="1080"/>
          </w:tcPr>
          <w:p>
            <w:r>
              <w:rPr>
                <w:rFonts w:ascii="Calibri" w:hAnsi="Calibri"/>
                <w:sz w:val="22"/>
              </w:rPr>
              <w:t>~10%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Yields CC Growth — Q2 2026</w:t>
            </w:r>
          </w:p>
        </w:tc>
        <w:tc>
          <w:tcPr>
            <w:tcW w:type="dxa" w:w="1080"/>
          </w:tcPr>
          <w:p>
            <w:r>
              <w:rPr>
                <w:rFonts w:ascii="Calibri" w:hAnsi="Calibri"/>
                <w:sz w:val="22"/>
              </w:rPr>
              <w:t>+0.37% CC</w:t>
            </w:r>
          </w:p>
        </w:tc>
        <w:tc>
          <w:tcPr>
            <w:tcW w:type="dxa" w:w="1080"/>
          </w:tcPr>
          <w:p>
            <w:r>
              <w:rPr>
                <w:rFonts w:ascii="Calibri" w:hAnsi="Calibri"/>
                <w:sz w:val="22"/>
              </w:rPr>
              <w:t>+0.58% CC</w:t>
            </w:r>
          </w:p>
        </w:tc>
        <w:tc>
          <w:tcPr>
            <w:tcW w:type="dxa" w:w="1080"/>
          </w:tcPr>
          <w:p>
            <w:r>
              <w:rPr>
                <w:rFonts w:ascii="Calibri" w:hAnsi="Calibri"/>
                <w:b/>
                <w:color w:val="30A46C"/>
                <w:sz w:val="22"/>
              </w:rPr>
              <w:t>+21 bps</w:t>
            </w:r>
          </w:p>
        </w:tc>
        <w:tc>
          <w:tcPr>
            <w:tcW w:type="dxa" w:w="1080"/>
          </w:tcPr>
          <w:p>
            <w:r>
              <w:rPr>
                <w:rFonts w:ascii="Calibri" w:hAnsi="Calibri"/>
                <w:sz w:val="22"/>
              </w:rPr>
              <w:t>~+0.2%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+38 bps above guidance</w:t>
            </w:r>
          </w:p>
        </w:tc>
      </w:tr>
      <w:tr>
        <w:tc>
          <w:tcPr>
            <w:tcW w:type="dxa" w:w="1080"/>
          </w:tcPr>
          <w:p>
            <w:r>
              <w:rPr>
                <w:rFonts w:ascii="Calibri" w:hAnsi="Calibri"/>
                <w:sz w:val="22"/>
              </w:rPr>
              <w:t>Net Yields CC Growth — FY 2026</w:t>
            </w:r>
          </w:p>
        </w:tc>
        <w:tc>
          <w:tcPr>
            <w:tcW w:type="dxa" w:w="1080"/>
          </w:tcPr>
          <w:p>
            <w:r>
              <w:rPr>
                <w:rFonts w:ascii="Calibri" w:hAnsi="Calibri"/>
                <w:sz w:val="22"/>
              </w:rPr>
              <w:t>+1.97% CC</w:t>
            </w:r>
          </w:p>
        </w:tc>
        <w:tc>
          <w:tcPr>
            <w:tcW w:type="dxa" w:w="1080"/>
          </w:tcPr>
          <w:p>
            <w:r>
              <w:rPr>
                <w:rFonts w:ascii="Calibri" w:hAnsi="Calibri"/>
                <w:sz w:val="22"/>
              </w:rPr>
              <w:t>+1.80% CC</w:t>
            </w:r>
          </w:p>
        </w:tc>
        <w:tc>
          <w:tcPr>
            <w:tcW w:type="dxa" w:w="1080"/>
          </w:tcPr>
          <w:p>
            <w:r>
              <w:rPr>
                <w:rFonts w:ascii="Calibri" w:hAnsi="Calibri"/>
                <w:b/>
                <w:color w:val="E5484D"/>
                <w:sz w:val="22"/>
              </w:rPr>
              <w:t>-17 bps</w:t>
            </w:r>
          </w:p>
        </w:tc>
        <w:tc>
          <w:tcPr>
            <w:tcW w:type="dxa" w:w="1080"/>
          </w:tcPr>
          <w:p>
            <w:r>
              <w:rPr>
                <w:rFonts w:ascii="Calibri" w:hAnsi="Calibri"/>
                <w:sz w:val="22"/>
              </w:rPr>
              <w:t>+1.5% to +2.5%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bl>
    <w:p>
      <w:r>
        <w:rPr>
          <w:rFonts w:ascii="Calibri" w:hAnsi="Calibri"/>
          <w:i/>
          <w:color w:val="525866"/>
          <w:sz w:val="22"/>
        </w:rPr>
        <w:t>Q2 EPS estimates have risen ~$0.08 since the post-Q1 baseline, driven by incremental confidence that Mediterranean booking recovery is tracking ahead of management's conservative April guidance. FY yield estimates have drifted slightly lower (-17 bps), consistent with the Street maintaining caution on the H1 geopolitical drag while keeping the H2 recovery thesis intact. The EPS revision trajectory is constructive but not aggressive — the gap between consensus and guidance midpoint is narrow, leaving room for a beat without requiring a heroic yield outcome.</w:t>
      </w:r>
    </w:p>
    <w:p>
      <w:r>
        <w:rPr>
          <w:rFonts w:ascii="Calibri" w:hAnsi="Calibri"/>
          <w:i/>
          <w:color w:val="525866"/>
          <w:sz w:val="22"/>
        </w:rPr>
        <w:t>Sources: Visible Alpha Consensus and Actuals Data (post-Q1 baseline as of May 7, 2026; current consensus as of July 27, 2026); RCL Q1 2026 Earnings Release and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RCL has significantly outperformed both XLY and SPY since the April 30 earnings date (+15.7% vs. XLY -6.3% and SPY +2.8%), driven primarily by multiple re-expansion and sentiment recovery from the post-Q1 lows, rather than meaningful EPS revision upside. The stock’s 12-month P/E has compressed from ~21x to ~15.7x NTM, suggesting the market is still pricing in execution risk despite the strong operational backdrop.</w:t>
      </w:r>
    </w:p>
    <w:p>
      <w:r>
        <w:rPr>
          <w:rFonts w:ascii="Calibri" w:hAnsi="Calibri"/>
          <w:b/>
          <w:color w:val="525866"/>
          <w:sz w:val="22"/>
        </w:rPr>
        <w:t xml:space="preserve">Benchmark: </w:t>
      </w:r>
      <w:r>
        <w:rPr>
          <w:rFonts w:ascii="Calibri" w:hAnsi="Calibri"/>
          <w:color w:val="525866"/>
          <w:sz w:val="22"/>
        </w:rPr>
        <w:t>XLY (Consumer Discretionary Select Sector SPDR ETF) — appropriate sub-sector benchmark for RCL given its classification as a consumer discretionary leisure/travel company. The S&amp;P 500 (SPY) is included as the broad market reference.</w:t>
      </w:r>
    </w:p>
    <w:p>
      <w:pPr>
        <w:pStyle w:val="Heading2"/>
      </w:pPr>
      <w:r>
        <w:rPr>
          <w:rFonts w:ascii="Calibri" w:hAnsi="Calibri"/>
          <w:b/>
          <w:color w:val="3B4259"/>
          <w:sz w:val="28"/>
        </w:rPr>
        <w:t>RCL vs. XLY vs. SPY — Indexed Performance Since April 30,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RCL (Indexed)</w:t>
            </w:r>
          </w:p>
        </w:tc>
        <w:tc>
          <w:tcPr>
            <w:tcW w:type="dxa" w:w="1728"/>
            <w:shd w:val="clear" w:color="auto" w:fill="3B4259"/>
          </w:tcPr>
          <w:p>
            <w:r>
              <w:rPr>
                <w:rFonts w:ascii="Calibri" w:hAnsi="Calibri"/>
                <w:b/>
                <w:color w:val="FFFFFF"/>
                <w:sz w:val="22"/>
              </w:rPr>
              <w:t>XLY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RCL Price ($)</w:t>
            </w:r>
          </w:p>
        </w:tc>
      </w:tr>
      <w:tr>
        <w:tc>
          <w:tcPr>
            <w:tcW w:type="dxa" w:w="1728"/>
          </w:tcPr>
          <w:p>
            <w:r>
              <w:rPr>
                <w:rFonts w:ascii="Calibri" w:hAnsi="Calibri"/>
                <w:sz w:val="22"/>
              </w:rPr>
              <w:t>Apr 30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$263.76</w:t>
            </w:r>
          </w:p>
        </w:tc>
      </w:tr>
      <w:tr>
        <w:tc>
          <w:tcPr>
            <w:tcW w:type="dxa" w:w="1728"/>
          </w:tcPr>
          <w:p>
            <w:r>
              <w:rPr>
                <w:rFonts w:ascii="Calibri" w:hAnsi="Calibri"/>
                <w:sz w:val="22"/>
              </w:rPr>
              <w:t>May 19 (Trough)</w:t>
            </w:r>
          </w:p>
        </w:tc>
        <w:tc>
          <w:tcPr>
            <w:tcW w:type="dxa" w:w="1728"/>
          </w:tcPr>
          <w:p>
            <w:r>
              <w:rPr>
                <w:rFonts w:ascii="Calibri" w:hAnsi="Calibri"/>
                <w:sz w:val="22"/>
              </w:rPr>
              <w:t>93.7</w:t>
            </w:r>
          </w:p>
        </w:tc>
        <w:tc>
          <w:tcPr>
            <w:tcW w:type="dxa" w:w="1728"/>
          </w:tcPr>
          <w:p>
            <w:r>
              <w:rPr>
                <w:rFonts w:ascii="Calibri" w:hAnsi="Calibri"/>
                <w:sz w:val="22"/>
              </w:rPr>
              <w:t>97.2</w:t>
            </w:r>
          </w:p>
        </w:tc>
        <w:tc>
          <w:tcPr>
            <w:tcW w:type="dxa" w:w="1728"/>
          </w:tcPr>
          <w:p>
            <w:r>
              <w:rPr>
                <w:rFonts w:ascii="Calibri" w:hAnsi="Calibri"/>
                <w:sz w:val="22"/>
              </w:rPr>
              <w:t>102.1</w:t>
            </w:r>
          </w:p>
        </w:tc>
        <w:tc>
          <w:tcPr>
            <w:tcW w:type="dxa" w:w="1728"/>
          </w:tcPr>
          <w:p>
            <w:r>
              <w:rPr>
                <w:rFonts w:ascii="Calibri" w:hAnsi="Calibri"/>
                <w:sz w:val="22"/>
              </w:rPr>
              <w:t>$247.20</w:t>
            </w:r>
          </w:p>
        </w:tc>
      </w:tr>
      <w:tr>
        <w:tc>
          <w:tcPr>
            <w:tcW w:type="dxa" w:w="1728"/>
          </w:tcPr>
          <w:p>
            <w:r>
              <w:rPr>
                <w:rFonts w:ascii="Calibri" w:hAnsi="Calibri"/>
                <w:sz w:val="22"/>
              </w:rPr>
              <w:t>Jun 15 (Rally Peak)</w:t>
            </w:r>
          </w:p>
        </w:tc>
        <w:tc>
          <w:tcPr>
            <w:tcW w:type="dxa" w:w="1728"/>
          </w:tcPr>
          <w:p>
            <w:r>
              <w:rPr>
                <w:rFonts w:ascii="Calibri" w:hAnsi="Calibri"/>
                <w:sz w:val="22"/>
              </w:rPr>
              <w:t>118.9</w:t>
            </w:r>
          </w:p>
        </w:tc>
        <w:tc>
          <w:tcPr>
            <w:tcW w:type="dxa" w:w="1728"/>
          </w:tcPr>
          <w:p>
            <w:r>
              <w:rPr>
                <w:rFonts w:ascii="Calibri" w:hAnsi="Calibri"/>
                <w:sz w:val="22"/>
              </w:rPr>
              <w:t>100.2</w:t>
            </w:r>
          </w:p>
        </w:tc>
        <w:tc>
          <w:tcPr>
            <w:tcW w:type="dxa" w:w="1728"/>
          </w:tcPr>
          <w:p>
            <w:r>
              <w:rPr>
                <w:rFonts w:ascii="Calibri" w:hAnsi="Calibri"/>
                <w:sz w:val="22"/>
              </w:rPr>
              <w:t>105.0</w:t>
            </w:r>
          </w:p>
        </w:tc>
        <w:tc>
          <w:tcPr>
            <w:tcW w:type="dxa" w:w="1728"/>
          </w:tcPr>
          <w:p>
            <w:r>
              <w:rPr>
                <w:rFonts w:ascii="Calibri" w:hAnsi="Calibri"/>
                <w:sz w:val="22"/>
              </w:rPr>
              <w:t>$313.67</w:t>
            </w:r>
          </w:p>
        </w:tc>
      </w:tr>
      <w:tr>
        <w:tc>
          <w:tcPr>
            <w:tcW w:type="dxa" w:w="1728"/>
          </w:tcPr>
          <w:p>
            <w:r>
              <w:rPr>
                <w:rFonts w:ascii="Calibri" w:hAnsi="Calibri"/>
                <w:sz w:val="22"/>
              </w:rPr>
              <w:t>Jun 23 (CCL Earnings)</w:t>
            </w:r>
          </w:p>
        </w:tc>
        <w:tc>
          <w:tcPr>
            <w:tcW w:type="dxa" w:w="1728"/>
          </w:tcPr>
          <w:p>
            <w:r>
              <w:rPr>
                <w:rFonts w:ascii="Calibri" w:hAnsi="Calibri"/>
                <w:sz w:val="22"/>
              </w:rPr>
              <w:t>117.4</w:t>
            </w:r>
          </w:p>
        </w:tc>
        <w:tc>
          <w:tcPr>
            <w:tcW w:type="dxa" w:w="1728"/>
          </w:tcPr>
          <w:p>
            <w:r>
              <w:rPr>
                <w:rFonts w:ascii="Calibri" w:hAnsi="Calibri"/>
                <w:sz w:val="22"/>
              </w:rPr>
              <w:t>96.1</w:t>
            </w:r>
          </w:p>
        </w:tc>
        <w:tc>
          <w:tcPr>
            <w:tcW w:type="dxa" w:w="1728"/>
          </w:tcPr>
          <w:p>
            <w:r>
              <w:rPr>
                <w:rFonts w:ascii="Calibri" w:hAnsi="Calibri"/>
                <w:sz w:val="22"/>
              </w:rPr>
              <w:t>102.1</w:t>
            </w:r>
          </w:p>
        </w:tc>
        <w:tc>
          <w:tcPr>
            <w:tcW w:type="dxa" w:w="1728"/>
          </w:tcPr>
          <w:p>
            <w:r>
              <w:rPr>
                <w:rFonts w:ascii="Calibri" w:hAnsi="Calibri"/>
                <w:sz w:val="22"/>
              </w:rPr>
              <w:t>$309.53</w:t>
            </w:r>
          </w:p>
        </w:tc>
      </w:tr>
      <w:tr>
        <w:tc>
          <w:tcPr>
            <w:tcW w:type="dxa" w:w="1728"/>
          </w:tcPr>
          <w:p>
            <w:r>
              <w:rPr>
                <w:rFonts w:ascii="Calibri" w:hAnsi="Calibri"/>
                <w:sz w:val="22"/>
              </w:rPr>
              <w:t>Jul 20 (Board Appt.)</w:t>
            </w:r>
          </w:p>
        </w:tc>
        <w:tc>
          <w:tcPr>
            <w:tcW w:type="dxa" w:w="1728"/>
          </w:tcPr>
          <w:p>
            <w:r>
              <w:rPr>
                <w:rFonts w:ascii="Calibri" w:hAnsi="Calibri"/>
                <w:sz w:val="22"/>
              </w:rPr>
              <w:t>108.5</w:t>
            </w:r>
          </w:p>
        </w:tc>
        <w:tc>
          <w:tcPr>
            <w:tcW w:type="dxa" w:w="1728"/>
          </w:tcPr>
          <w:p>
            <w:r>
              <w:rPr>
                <w:rFonts w:ascii="Calibri" w:hAnsi="Calibri"/>
                <w:sz w:val="22"/>
              </w:rPr>
              <w:t>96.8</w:t>
            </w:r>
          </w:p>
        </w:tc>
        <w:tc>
          <w:tcPr>
            <w:tcW w:type="dxa" w:w="1728"/>
          </w:tcPr>
          <w:p>
            <w:r>
              <w:rPr>
                <w:rFonts w:ascii="Calibri" w:hAnsi="Calibri"/>
                <w:sz w:val="22"/>
              </w:rPr>
              <w:t>103.3</w:t>
            </w:r>
          </w:p>
        </w:tc>
        <w:tc>
          <w:tcPr>
            <w:tcW w:type="dxa" w:w="1728"/>
          </w:tcPr>
          <w:p>
            <w:r>
              <w:rPr>
                <w:rFonts w:ascii="Calibri" w:hAnsi="Calibri"/>
                <w:sz w:val="22"/>
              </w:rPr>
              <w:t>$286.16</w:t>
            </w:r>
          </w:p>
        </w:tc>
      </w:tr>
      <w:tr>
        <w:tc>
          <w:tcPr>
            <w:tcW w:type="dxa" w:w="1728"/>
          </w:tcPr>
          <w:p>
            <w:r>
              <w:rPr>
                <w:rFonts w:ascii="Calibri" w:hAnsi="Calibri"/>
                <w:sz w:val="22"/>
              </w:rPr>
              <w:t>Jul 27 (Current)</w:t>
            </w:r>
          </w:p>
        </w:tc>
        <w:tc>
          <w:tcPr>
            <w:tcW w:type="dxa" w:w="1728"/>
          </w:tcPr>
          <w:p>
            <w:r>
              <w:rPr>
                <w:rFonts w:ascii="Calibri" w:hAnsi="Calibri"/>
                <w:sz w:val="22"/>
              </w:rPr>
              <w:t>115.7</w:t>
            </w:r>
          </w:p>
        </w:tc>
        <w:tc>
          <w:tcPr>
            <w:tcW w:type="dxa" w:w="1728"/>
          </w:tcPr>
          <w:p>
            <w:r>
              <w:rPr>
                <w:rFonts w:ascii="Calibri" w:hAnsi="Calibri"/>
                <w:sz w:val="22"/>
              </w:rPr>
              <w:t>93.7</w:t>
            </w:r>
          </w:p>
        </w:tc>
        <w:tc>
          <w:tcPr>
            <w:tcW w:type="dxa" w:w="1728"/>
          </w:tcPr>
          <w:p>
            <w:r>
              <w:rPr>
                <w:rFonts w:ascii="Calibri" w:hAnsi="Calibri"/>
                <w:sz w:val="22"/>
              </w:rPr>
              <w:t>102.8</w:t>
            </w:r>
          </w:p>
        </w:tc>
        <w:tc>
          <w:tcPr>
            <w:tcW w:type="dxa" w:w="1728"/>
          </w:tcPr>
          <w:p>
            <w:r>
              <w:rPr>
                <w:rFonts w:ascii="Calibri" w:hAnsi="Calibri"/>
                <w:sz w:val="22"/>
              </w:rPr>
              <w:t>$305.04</w:t>
            </w:r>
          </w:p>
        </w:tc>
      </w:tr>
    </w:tbl>
    <w:p>
      <w:r>
        <w:rPr>
          <w:rFonts w:ascii="Calibri" w:hAnsi="Calibri"/>
          <w:b/>
          <w:color w:val="525866"/>
          <w:sz w:val="22"/>
        </w:rPr>
        <w:t xml:space="preserve">Performance narrative: </w:t>
      </w:r>
      <w:r>
        <w:rPr>
          <w:rFonts w:ascii="Calibri" w:hAnsi="Calibri"/>
          <w:color w:val="525866"/>
          <w:sz w:val="22"/>
        </w:rPr>
        <w:t>RCL sold off ~6% in the two weeks following the Q1 print (April 30 – May 19) as the market digested the FY guidance cut, before recovering sharply through mid-June (+27% from trough to June 15 peak) as Mediterranean booking recovery commentary gained traction and oil prices moderated. The stock pulled back ~9% from the June peak through early July as broader consumer discretionary weakness (XLY -9% over the same period) weighed, before recovering to ~$305 ahead of earnings. Over the full period since April 30, RCL is +15.7% vs. XLY -6.3% and SPY +2.8% — a meaningful outperformance driven by sentiment recovery and multiple re-expansion rather than EPS revision upside (FY EPS consensus is up only ~$0.05 since the Q1 print). The 12-month NTM P/E has compressed from ~21x a year ago to ~15.7x today, suggesting the market is still pricing in meaningful execution risk relative to the Perfecta program targets.</w:t>
      </w:r>
    </w:p>
    <w:p>
      <w:r>
        <w:rPr>
          <w:rFonts w:ascii="Calibri" w:hAnsi="Calibri"/>
          <w:i/>
          <w:color w:val="525866"/>
          <w:sz w:val="22"/>
        </w:rPr>
        <w:t>Source: Stock Price Data (Yahoo Finance). Indexed to 100 at April 30, 2026 close ($263.76 for RCL, $118.35 for XLY, $718.66 for SPY). Current prices as of July 28, 2026 pre-market ($305.04 for RCL, $110.84 for XLY, $739.09 for SPY).</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Carnival’s June 23 earnings commentary confirming that Mediterranean booking trends have begun to reverse — a direct positive read-through for RCL’s Q2 yield outcome and H2 recovery thesis. The board appointment of a tech-forward director is a secondary positive for the digital/AI strategy narrative.</w:t>
      </w:r>
    </w:p>
    <w:p>
      <w:pPr>
        <w:pStyle w:val="ListBullet"/>
        <w:ind w:left="360" w:hanging="360"/>
      </w:pPr>
      <w:r>
        <w:rPr>
          <w:rFonts w:ascii="Calibri" w:hAnsi="Calibri"/>
          <w:b/>
          <w:color w:val="525866"/>
          <w:sz w:val="22"/>
        </w:rPr>
        <w:t>July 20, 2026 — RCL appoints Tara Bunch (former Airbnb COO, Apple executive) to Board of Directors.</w:t>
      </w:r>
      <w:r>
        <w:rPr>
          <w:rFonts w:ascii="Calibri" w:hAnsi="Calibri"/>
          <w:color w:val="525866"/>
          <w:sz w:val="22"/>
        </w:rPr>
        <w:t xml:space="preserve"> Implication: Strengthens digital/AI and customer experience credentials on the board; consistent with RCL’s Perfecta strategy emphasis on technology-driven yield optimization and loyalty ecosystem deepening. No financial impact.</w:t>
      </w:r>
    </w:p>
    <w:p>
      <w:pPr>
        <w:pStyle w:val="ListBullet"/>
        <w:ind w:left="360" w:hanging="360"/>
      </w:pPr>
      <w:r>
        <w:rPr>
          <w:rFonts w:ascii="Calibri" w:hAnsi="Calibri"/>
          <w:b/>
          <w:color w:val="525866"/>
          <w:sz w:val="22"/>
        </w:rPr>
        <w:t>July 8, 2026 — RCL announces Q2 2026 earnings call scheduled for July 28, 2026.</w:t>
      </w:r>
      <w:r>
        <w:rPr>
          <w:rFonts w:ascii="Calibri" w:hAnsi="Calibri"/>
          <w:color w:val="525866"/>
          <w:sz w:val="22"/>
        </w:rPr>
        <w:t xml:space="preserve"> Routine administrative announcement; confirms earnings date.</w:t>
      </w:r>
    </w:p>
    <w:p>
      <w:pPr>
        <w:pStyle w:val="ListBullet"/>
        <w:ind w:left="360" w:hanging="360"/>
      </w:pPr>
      <w:r>
        <w:rPr>
          <w:rFonts w:ascii="Calibri" w:hAnsi="Calibri"/>
          <w:b/>
          <w:color w:val="525866"/>
          <w:sz w:val="22"/>
        </w:rPr>
        <w:t>June 23, 2026 — Carnival Corporation (CCL) reports Q2 2026 earnings.</w:t>
      </w:r>
      <w:r>
        <w:rPr>
          <w:rFonts w:ascii="Calibri" w:hAnsi="Calibri"/>
          <w:color w:val="525866"/>
          <w:sz w:val="22"/>
        </w:rPr>
        <w:t xml:space="preserve"> Implication: Most important peer read-through event of the period. CCL confirmed Mediterranean booking trends are reversing, booked position for H2 2026 is ahead of prior year at record prices, and close-in demand and onboard spending remain resilient despite geopolitical volatility. CCL also guided for slightly lower fuel costs in the remainder of 2026 as oil prices have fallen. All three dynamics are directly positive for RCL’s Q2 yield outcome and H2 recovery thesis. See Section 7 for full peer commentary detail.</w:t>
      </w:r>
    </w:p>
    <w:p>
      <w:pPr>
        <w:pStyle w:val="ListBullet"/>
        <w:ind w:left="360" w:hanging="360"/>
      </w:pPr>
      <w:r>
        <w:rPr>
          <w:rFonts w:ascii="Calibri" w:hAnsi="Calibri"/>
          <w:b/>
          <w:color w:val="525866"/>
          <w:sz w:val="22"/>
        </w:rPr>
        <w:t>April 30, 2026 — RCL reports Q1 2026 results (last earnings event).</w:t>
      </w:r>
      <w:r>
        <w:rPr>
          <w:rFonts w:ascii="Calibri" w:hAnsi="Calibri"/>
          <w:color w:val="525866"/>
          <w:sz w:val="22"/>
        </w:rPr>
        <w:t xml:space="preserve"> Adj. EPS of $3.60 beat consensus of $3.18 by ~13%; FY 2026 EPS guidance revised down to $17.10–$17.50 from $17.70–$18.10, attributable to $0.62/share fuel headwind and $0.12/share lower TUI Cruises JV contribution. Management characterized Mediterranean booking moderation as having “turned the corner” and framed all headwinds as external and transitory. Yield cadence described as a “smiley face” with Q2/Q3 most impacted and Q4 expected to recover strongly.</w:t>
      </w:r>
    </w:p>
    <w:p>
      <w:pPr>
        <w:pStyle w:val="ListBullet"/>
        <w:ind w:left="360" w:hanging="360"/>
      </w:pPr>
      <w:r>
        <w:rPr>
          <w:rFonts w:ascii="Calibri" w:hAnsi="Calibri"/>
          <w:b/>
          <w:color w:val="525866"/>
          <w:sz w:val="22"/>
        </w:rPr>
        <w:t>Ongoing — Geopolitical disruption (Middle East conflict) continues to affect Mediterranean itinerary bookings and fuel costs.</w:t>
      </w:r>
      <w:r>
        <w:rPr>
          <w:rFonts w:ascii="Calibri" w:hAnsi="Calibri"/>
          <w:color w:val="525866"/>
          <w:sz w:val="22"/>
        </w:rPr>
        <w:t xml:space="preserve"> Implication: RCL is 60% hedged for the remainder of 2026 at below-market rates; any further oil price spike or moderation will move FY EPS by ~$0.62/share per the guidance framework. Mediterranean bookings have been rebounding per both RCL (April 30) and CCL (June 23) commentary, but the pace of recovery is the key Q2 yield swing factor.</w:t>
      </w:r>
    </w:p>
    <w:p>
      <w:pPr>
        <w:pStyle w:val="ListBullet"/>
        <w:ind w:left="360" w:hanging="360"/>
      </w:pPr>
      <w:r>
        <w:rPr>
          <w:rFonts w:ascii="Calibri" w:hAnsi="Calibri"/>
          <w:b/>
          <w:color w:val="525866"/>
          <w:sz w:val="22"/>
        </w:rPr>
        <w:t>Ongoing — Perfect Day Mexico construction resumed following resolution of environmental permitting issues.</w:t>
      </w:r>
      <w:r>
        <w:rPr>
          <w:rFonts w:ascii="Calibri" w:hAnsi="Calibri"/>
          <w:color w:val="525866"/>
          <w:sz w:val="22"/>
        </w:rPr>
        <w:t xml:space="preserve"> Targeting soft opening Q4 2027 with full ramp through 2028. Royal Beach Club Cozumel now expected early 2028; Perfect Day Costa Maya targeted late 2027. These are 2027–2028 earnings drivers, not Q2 2026 factors, but management commentary on construction progress will be watched.</w:t>
      </w:r>
    </w:p>
    <w:p>
      <w:pPr>
        <w:pStyle w:val="ListBullet"/>
        <w:ind w:left="360" w:hanging="360"/>
      </w:pPr>
      <w:r>
        <w:rPr>
          <w:rFonts w:ascii="Calibri" w:hAnsi="Calibri"/>
          <w:b/>
          <w:color w:val="525866"/>
          <w:sz w:val="22"/>
        </w:rPr>
        <w:t>Ongoing — Royal ONE co-branded credit card launched; repeat guest share rising toward 40% of customer base.</w:t>
      </w:r>
      <w:r>
        <w:rPr>
          <w:rFonts w:ascii="Calibri" w:hAnsi="Calibri"/>
          <w:color w:val="525866"/>
          <w:sz w:val="22"/>
        </w:rPr>
        <w:t xml:space="preserve"> Implication: Structural loyalty deepening supports onboard revenue per guest and pricing power; positive for long-term yield trajectory but not a Q2 swing factor.</w:t>
      </w:r>
    </w:p>
    <w:p>
      <w:r>
        <w:br w:type="page"/>
      </w:r>
    </w:p>
    <w:p>
      <w:pPr>
        <w:pStyle w:val="Heading1"/>
        <w:pBdr>
          <w:bottom w:val="single" w:sz="4" w:space="1" w:color="FB9120"/>
        </w:pBdr>
      </w:pPr>
      <w:r>
        <w:rPr>
          <w:rFonts w:ascii="Calibri" w:hAnsi="Calibri"/>
          <w:b/>
          <w:color w:val="3B4259"/>
          <w:sz w:val="40"/>
        </w:rPr>
        <w:t>7. Peer Commentary Read-Throughs (Last 60 Days: May 28 – July 27, 2026)</w:t>
      </w:r>
    </w:p>
    <w:p>
      <w:r>
        <w:rPr>
          <w:rFonts w:ascii="Calibri" w:hAnsi="Calibri"/>
          <w:b/>
          <w:color w:val="525866"/>
          <w:sz w:val="22"/>
        </w:rPr>
        <w:t xml:space="preserve">Key Takeaway: </w:t>
      </w:r>
      <w:r>
        <w:rPr>
          <w:rFonts w:ascii="Calibri" w:hAnsi="Calibri"/>
          <w:color w:val="525866"/>
          <w:sz w:val="22"/>
        </w:rPr>
        <w:t>Carnival Corporation’s June 23, 2026 Q2 earnings release and call are the only qualifying peer read-through in the period — and the commentary is broadly positive for RCL’s Q2 setup. CCL confirmed that Mediterranean booking trends are already reversing, the H2 2026 booked position is ahead of prior year at record prices, close-in demand and onboard spending are resilient, and fuel cost headwinds are easing. NCLH produced no qualifying operational commentary in the period.</w:t>
      </w:r>
    </w:p>
    <w:p>
      <w:r>
        <w:rPr>
          <w:rFonts w:ascii="Calibri" w:hAnsi="Calibri"/>
          <w:b/>
          <w:color w:val="525866"/>
          <w:sz w:val="22"/>
        </w:rPr>
        <w:t xml:space="preserve">Methodology note: </w:t>
      </w:r>
      <w:r>
        <w:rPr>
          <w:rFonts w:ascii="Calibri" w:hAnsi="Calibri"/>
          <w:i/>
          <w:color w:val="525866"/>
          <w:sz w:val="22"/>
        </w:rPr>
        <w:t>Only commentary made between May 28 and July 27, 2026 that pertains to RCL’s current reporting quarter (Q2 2026, ended June 30) or forward booking/demand conditions is included. Retrospective peer commentary on already-reported peer results (e.g., CCL’s own Q2 results discussion) is excluded; only forward-looking and current-conditions commentary is included as read-throughs for RCL.</w:t>
      </w:r>
    </w:p>
    <w:p>
      <w:pPr>
        <w:pStyle w:val="Heading2"/>
      </w:pPr>
      <w:r>
        <w:rPr>
          <w:rFonts w:ascii="Calibri" w:hAnsi="Calibri"/>
          <w:b/>
          <w:color w:val="3B4259"/>
          <w:sz w:val="28"/>
        </w:rPr>
        <w:t>Carnival Corporation (CCL) — Q2 2026 Earnings (June 23, 2026) ✔ QUALIFYING</w:t>
      </w:r>
    </w:p>
    <w:p>
      <w:r>
        <w:rPr>
          <w:rFonts w:ascii="Calibri" w:hAnsi="Calibri"/>
          <w:color w:val="525866"/>
          <w:sz w:val="22"/>
        </w:rPr>
        <w:t>CCL reported its Q2 2026 results on June 23, 2026 — within RCL’s current reporting quarter (ended June 30, 2026) — and provided extensive forward-looking commentary on booking trends, yield trajectory, geopolitical impacts, and fuel costs that are directly relevant to RCL’s Q2 outcome and H2 2026 setup.</w:t>
      </w:r>
    </w:p>
    <w:p>
      <w:pPr>
        <w:pStyle w:val="Heading3"/>
      </w:pPr>
      <w:r>
        <w:rPr>
          <w:rFonts w:ascii="Calibri" w:hAnsi="Calibri"/>
          <w:b/>
          <w:color w:val="3B4259"/>
          <w:sz w:val="24"/>
        </w:rPr>
        <w:t>Mediterranean Booking Recovery — Positive Read-Through</w:t>
      </w:r>
    </w:p>
    <w:p>
      <w:pPr>
        <w:pStyle w:val="ListBullet"/>
        <w:ind w:left="360" w:hanging="360"/>
      </w:pPr>
      <w:r>
        <w:rPr>
          <w:rFonts w:ascii="Calibri" w:hAnsi="Calibri"/>
          <w:b/>
          <w:color w:val="525866"/>
          <w:sz w:val="22"/>
        </w:rPr>
        <w:t xml:space="preserve">CCL CEO Josh Weinstein (June 23): </w:t>
      </w:r>
      <w:r>
        <w:rPr>
          <w:rFonts w:ascii="Calibri" w:hAnsi="Calibri"/>
          <w:color w:val="525866"/>
          <w:sz w:val="22"/>
        </w:rPr>
        <w:t>“Booking trends in recent weeks suggest we are already beginning to see a reversal of these headwinds. The key takeaway here is that this moderation is already proving to be transitory, and is not something that alters the underlying trajectory of the company.”</w:t>
      </w:r>
    </w:p>
    <w:p>
      <w:pPr>
        <w:pStyle w:val="ListBullet"/>
        <w:ind w:left="360" w:hanging="360"/>
      </w:pPr>
      <w:r>
        <w:rPr>
          <w:rFonts w:ascii="Calibri" w:hAnsi="Calibri"/>
          <w:b/>
          <w:color w:val="525866"/>
          <w:sz w:val="22"/>
        </w:rPr>
        <w:t xml:space="preserve">CCL CEO (June 23): </w:t>
      </w:r>
      <w:r>
        <w:rPr>
          <w:rFonts w:ascii="Calibri" w:hAnsi="Calibri"/>
          <w:color w:val="525866"/>
          <w:sz w:val="22"/>
        </w:rPr>
        <w:t>“June certainly seems to have turned a corner. And last week was a nice cherry on top as we kind of got the MOU signed and people started thinking about, okay, I can start planning my life again.”</w:t>
      </w:r>
    </w:p>
    <w:p>
      <w:pPr>
        <w:pStyle w:val="ListBullet"/>
        <w:ind w:left="360" w:hanging="360"/>
      </w:pPr>
      <w:r>
        <w:rPr>
          <w:rFonts w:ascii="Calibri" w:hAnsi="Calibri"/>
          <w:b/>
          <w:color w:val="525866"/>
          <w:sz w:val="22"/>
        </w:rPr>
        <w:t xml:space="preserve">Read-through for RCL: </w:t>
      </w:r>
      <w:r>
        <w:rPr>
          <w:rFonts w:ascii="Calibri" w:hAnsi="Calibri"/>
          <w:color w:val="525866"/>
          <w:sz w:val="22"/>
        </w:rPr>
        <w:t>CCL’s confirmation that Mediterranean booking trends reversed in June is directly positive for RCL’s Q2 yield outcome. RCL guided Q2 net yields at only ~+0.2% CC, citing Mediterranean disruption as the primary headwind; if the reversal CCL describes was underway during June (the final month of RCL’s Q2), RCL’s yield line could come in above the guidance midpoint — consistent with the Street’s +0.58% CC consensus estimate.</w:t>
      </w:r>
    </w:p>
    <w:p>
      <w:pPr>
        <w:pStyle w:val="Heading3"/>
      </w:pPr>
      <w:r>
        <w:rPr>
          <w:rFonts w:ascii="Calibri" w:hAnsi="Calibri"/>
          <w:b/>
          <w:color w:val="3B4259"/>
          <w:sz w:val="24"/>
        </w:rPr>
        <w:t>H2 2026 Booked Position — Positive Read-Through</w:t>
      </w:r>
    </w:p>
    <w:p>
      <w:pPr>
        <w:pStyle w:val="ListBullet"/>
        <w:ind w:left="360" w:hanging="360"/>
      </w:pPr>
      <w:r>
        <w:rPr>
          <w:rFonts w:ascii="Calibri" w:hAnsi="Calibri"/>
          <w:b/>
          <w:color w:val="525866"/>
          <w:sz w:val="22"/>
        </w:rPr>
        <w:t xml:space="preserve">CCL CEO (June 23): </w:t>
      </w:r>
      <w:r>
        <w:rPr>
          <w:rFonts w:ascii="Calibri" w:hAnsi="Calibri"/>
          <w:color w:val="525866"/>
          <w:sz w:val="22"/>
        </w:rPr>
        <w:t>“Our booked position for the second half of 2026 is higher than last year, at historically high prices (in constant currency), despite navigating more than a full quarter of extreme geopolitical volatility that primarily impacted booking trends for our European deployments, particularly in the Mediterranean region.”</w:t>
      </w:r>
    </w:p>
    <w:p>
      <w:pPr>
        <w:pStyle w:val="ListBullet"/>
        <w:ind w:left="360" w:hanging="360"/>
      </w:pPr>
      <w:r>
        <w:rPr>
          <w:rFonts w:ascii="Calibri" w:hAnsi="Calibri"/>
          <w:b/>
          <w:color w:val="525866"/>
          <w:sz w:val="22"/>
        </w:rPr>
        <w:t xml:space="preserve">CCL CEO (June 23): </w:t>
      </w:r>
      <w:r>
        <w:rPr>
          <w:rFonts w:ascii="Calibri" w:hAnsi="Calibri"/>
          <w:color w:val="525866"/>
          <w:sz w:val="22"/>
        </w:rPr>
        <w:t>“We are now 93 percent booked for the year with less inventory remaining for sale than this time last year and are on track for record net yields in the second half of 2026.”</w:t>
      </w:r>
    </w:p>
    <w:p>
      <w:pPr>
        <w:pStyle w:val="ListBullet"/>
        <w:ind w:left="360" w:hanging="360"/>
      </w:pPr>
      <w:r>
        <w:rPr>
          <w:rFonts w:ascii="Calibri" w:hAnsi="Calibri"/>
          <w:b/>
          <w:color w:val="525866"/>
          <w:sz w:val="22"/>
        </w:rPr>
        <w:t xml:space="preserve">CCL CEO (June 23): </w:t>
      </w:r>
      <w:r>
        <w:rPr>
          <w:rFonts w:ascii="Calibri" w:hAnsi="Calibri"/>
          <w:color w:val="525866"/>
          <w:sz w:val="22"/>
        </w:rPr>
        <w:t>“Looking further out, demand for 2027 and beyond remains strong. Since March, booking volumes and prices for these future sailings have been running ahead of prior year levels, including a substantial increase in bookings for our European deployments next year.”</w:t>
      </w:r>
    </w:p>
    <w:p>
      <w:pPr>
        <w:pStyle w:val="ListBullet"/>
        <w:ind w:left="360" w:hanging="360"/>
      </w:pPr>
      <w:r>
        <w:rPr>
          <w:rFonts w:ascii="Calibri" w:hAnsi="Calibri"/>
          <w:b/>
          <w:color w:val="525866"/>
          <w:sz w:val="22"/>
        </w:rPr>
        <w:t xml:space="preserve">Read-through for RCL: </w:t>
      </w:r>
      <w:r>
        <w:rPr>
          <w:rFonts w:ascii="Calibri" w:hAnsi="Calibri"/>
          <w:color w:val="525866"/>
          <w:sz w:val="22"/>
        </w:rPr>
        <w:t>CCL’s H2 booked position commentary is a strong positive read-through for RCL’s Q3/Q4 yield recovery thesis (the “smiley face” cadence management described). The 2027 booking strength for European deployments also validates RCL’s assertion that geopolitical impacts are “a onetime situation” with no carryover into next year.</w:t>
      </w:r>
    </w:p>
    <w:p>
      <w:pPr>
        <w:pStyle w:val="Heading3"/>
      </w:pPr>
      <w:r>
        <w:rPr>
          <w:rFonts w:ascii="Calibri" w:hAnsi="Calibri"/>
          <w:b/>
          <w:color w:val="3B4259"/>
          <w:sz w:val="24"/>
        </w:rPr>
        <w:t>Close-in Demand &amp; Onboard Spending — Positive Read-Through</w:t>
      </w:r>
    </w:p>
    <w:p>
      <w:pPr>
        <w:pStyle w:val="ListBullet"/>
        <w:ind w:left="360" w:hanging="360"/>
      </w:pPr>
      <w:r>
        <w:rPr>
          <w:rFonts w:ascii="Calibri" w:hAnsi="Calibri"/>
          <w:b/>
          <w:color w:val="525866"/>
          <w:sz w:val="22"/>
        </w:rPr>
        <w:t xml:space="preserve">CCL CEO (June 23): </w:t>
      </w:r>
      <w:r>
        <w:rPr>
          <w:rFonts w:ascii="Calibri" w:hAnsi="Calibri"/>
          <w:color w:val="525866"/>
          <w:sz w:val="22"/>
        </w:rPr>
        <w:t>“Despite extreme geopolitical volatility and historic low levels of consumer sentiment throughout the quarter, resilient close-in demand and robust onboard spending drove yields modestly above our March expectations.”</w:t>
      </w:r>
    </w:p>
    <w:p>
      <w:pPr>
        <w:pStyle w:val="ListBullet"/>
        <w:ind w:left="360" w:hanging="360"/>
      </w:pPr>
      <w:r>
        <w:rPr>
          <w:rFonts w:ascii="Calibri" w:hAnsi="Calibri"/>
          <w:b/>
          <w:color w:val="525866"/>
          <w:sz w:val="22"/>
        </w:rPr>
        <w:t xml:space="preserve">CCL CEO (June 23): </w:t>
      </w:r>
      <w:r>
        <w:rPr>
          <w:rFonts w:ascii="Calibri" w:hAnsi="Calibri"/>
          <w:color w:val="525866"/>
          <w:sz w:val="22"/>
        </w:rPr>
        <w:t>“Continued strength in demand is also reflected in higher second quarter onboard revenues, increased pre-cruise onboard sales and record customer deposits.” Customer deposits reached an all-time high of $9.0 billion, up over $450 million vs. prior year record.</w:t>
      </w:r>
    </w:p>
    <w:p>
      <w:pPr>
        <w:pStyle w:val="ListBullet"/>
        <w:ind w:left="360" w:hanging="360"/>
      </w:pPr>
      <w:r>
        <w:rPr>
          <w:rFonts w:ascii="Calibri" w:hAnsi="Calibri"/>
          <w:b/>
          <w:color w:val="525866"/>
          <w:sz w:val="22"/>
        </w:rPr>
        <w:t xml:space="preserve">Read-through for RCL: </w:t>
      </w:r>
      <w:r>
        <w:rPr>
          <w:rFonts w:ascii="Calibri" w:hAnsi="Calibri"/>
          <w:color w:val="525866"/>
          <w:sz w:val="22"/>
        </w:rPr>
        <w:t>Close-in demand resilience and onboard spending strength are directly positive for RCL’s Q2 yield outcome. RCL has noted that more than half of onboard revenue is now booked pre-cruise (the vast majority digitally), making onboard revenue a more predictable and less close-in-dependent line — suggesting RCL’s onboard revenue may be even more resilient than CCL’s.</w:t>
      </w:r>
    </w:p>
    <w:p>
      <w:pPr>
        <w:pStyle w:val="Heading3"/>
      </w:pPr>
      <w:r>
        <w:rPr>
          <w:rFonts w:ascii="Calibri" w:hAnsi="Calibri"/>
          <w:b/>
          <w:color w:val="3B4259"/>
          <w:sz w:val="24"/>
        </w:rPr>
        <w:t>Fuel Costs — Mixed Read-Through</w:t>
      </w:r>
    </w:p>
    <w:p>
      <w:pPr>
        <w:pStyle w:val="ListBullet"/>
        <w:ind w:left="360" w:hanging="360"/>
      </w:pPr>
      <w:r>
        <w:rPr>
          <w:rFonts w:ascii="Calibri" w:hAnsi="Calibri"/>
          <w:b/>
          <w:color w:val="525866"/>
          <w:sz w:val="22"/>
        </w:rPr>
        <w:t xml:space="preserve">CCL (June 23): </w:t>
      </w:r>
      <w:r>
        <w:rPr>
          <w:rFonts w:ascii="Calibri" w:hAnsi="Calibri"/>
          <w:color w:val="525866"/>
          <w:sz w:val="22"/>
        </w:rPr>
        <w:t>Guided for slightly lower fuel costs in the remainder of 2026 as oil prices have fallen recently. Q3 2026 fuel cost per metric ton (excluding emission allowances) guided at $812. CCL noted that “the net impact of fuel price and currency on our June guidance versus our previous guidance was less than $0.01 per share.”</w:t>
      </w:r>
    </w:p>
    <w:p>
      <w:pPr>
        <w:pStyle w:val="ListBullet"/>
        <w:ind w:left="360" w:hanging="360"/>
      </w:pPr>
      <w:r>
        <w:rPr>
          <w:rFonts w:ascii="Calibri" w:hAnsi="Calibri"/>
          <w:b/>
          <w:color w:val="525866"/>
          <w:sz w:val="22"/>
        </w:rPr>
        <w:t xml:space="preserve">Read-through for RCL: </w:t>
      </w:r>
      <w:r>
        <w:rPr>
          <w:rFonts w:ascii="Calibri" w:hAnsi="Calibri"/>
          <w:color w:val="525866"/>
          <w:sz w:val="22"/>
        </w:rPr>
        <w:t>The moderation in oil prices since CCL’s April guidance is a modest positive for RCL’s fuel cost outlook. RCL is 60% hedged for the remainder of 2026 at below-market rates, so the benefit of lower spot prices flows through on the unhedged 40%. Management noted at Q1 that the forward curve was ~4% below spot — if that gap has widened further, it could provide modest FY EPS upside vs. the $17.10–$17.50 guidance range.</w:t>
      </w:r>
    </w:p>
    <w:p>
      <w:pPr>
        <w:pStyle w:val="ListBullet"/>
        <w:ind w:left="360" w:hanging="360"/>
      </w:pPr>
      <w:r>
        <w:rPr>
          <w:rFonts w:ascii="Calibri" w:hAnsi="Calibri"/>
          <w:b/>
          <w:color w:val="525866"/>
          <w:sz w:val="22"/>
        </w:rPr>
        <w:t xml:space="preserve">Caveat: </w:t>
      </w:r>
      <w:r>
        <w:rPr>
          <w:rFonts w:ascii="Calibri" w:hAnsi="Calibri"/>
          <w:color w:val="525866"/>
          <w:sz w:val="22"/>
        </w:rPr>
        <w:t>CCL also noted it experienced “nearly 30% higher fuel costs” in Q2 2026 vs. prior year, confirming that the elevated fuel environment was a real headwind during the quarter — consistent with RCL’s $346M Q2 fuel expense guidance.</w:t>
      </w:r>
    </w:p>
    <w:p>
      <w:pPr>
        <w:pStyle w:val="Heading3"/>
      </w:pPr>
      <w:r>
        <w:rPr>
          <w:rFonts w:ascii="Calibri" w:hAnsi="Calibri"/>
          <w:b/>
          <w:color w:val="3B4259"/>
          <w:sz w:val="24"/>
        </w:rPr>
        <w:t>Cost Management — Positive Read-Through</w:t>
      </w:r>
    </w:p>
    <w:p>
      <w:pPr>
        <w:pStyle w:val="ListBullet"/>
        <w:ind w:left="360" w:hanging="360"/>
      </w:pPr>
      <w:r>
        <w:rPr>
          <w:rFonts w:ascii="Calibri" w:hAnsi="Calibri"/>
          <w:b/>
          <w:color w:val="525866"/>
          <w:sz w:val="22"/>
        </w:rPr>
        <w:t xml:space="preserve">CCL CFO David Bernstein (June 23): </w:t>
      </w:r>
      <w:r>
        <w:rPr>
          <w:rFonts w:ascii="Calibri" w:hAnsi="Calibri"/>
          <w:color w:val="525866"/>
          <w:sz w:val="22"/>
        </w:rPr>
        <w:t>“While the conflict in the Middle East resulted in a yield growth revision by approximately one percentage point relative to our prior guidance, our intensified focus on cost management generated an offsetting one percentage point improvement in cruise costs without fuel.” CCL described these as “permanent cost savings” across hundreds of items.</w:t>
      </w:r>
    </w:p>
    <w:p>
      <w:pPr>
        <w:pStyle w:val="ListBullet"/>
        <w:ind w:left="360" w:hanging="360"/>
      </w:pPr>
      <w:r>
        <w:rPr>
          <w:rFonts w:ascii="Calibri" w:hAnsi="Calibri"/>
          <w:b/>
          <w:color w:val="525866"/>
          <w:sz w:val="22"/>
        </w:rPr>
        <w:t xml:space="preserve">Read-through for RCL: </w:t>
      </w:r>
      <w:r>
        <w:rPr>
          <w:rFonts w:ascii="Calibri" w:hAnsi="Calibri"/>
          <w:color w:val="525866"/>
          <w:sz w:val="22"/>
        </w:rPr>
        <w:t>Industry-wide cost discipline is a positive backdrop for RCL’s near-flat NCC ex-fuel guidance. RCL has consistently cited AI/technology deployment and scale leverage as structural cost advantages; CCL’s confirmation of permanent cost savings across the industry validates the sustainability of RCL’s cost discipline narrative.</w:t>
      </w:r>
    </w:p>
    <w:p>
      <w:pPr>
        <w:pStyle w:val="Heading2"/>
      </w:pPr>
      <w:r>
        <w:rPr>
          <w:rFonts w:ascii="Calibri" w:hAnsi="Calibri"/>
          <w:b/>
          <w:color w:val="3B4259"/>
          <w:sz w:val="28"/>
        </w:rPr>
        <w:t>Norwegian Cruise Line Holdings (NCLH) — No Qualifying Commentary in Period ✘</w:t>
      </w:r>
    </w:p>
    <w:p>
      <w:r>
        <w:rPr>
          <w:rFonts w:ascii="Calibri" w:hAnsi="Calibri"/>
          <w:color w:val="525866"/>
          <w:sz w:val="22"/>
        </w:rPr>
        <w:t>NCLH’s two 8-K filings in the May 28 – July 27, 2026 window (May 29 and June 11, 2026) contained no qualifying operational commentary for RCL’s Q2 read-through:</w:t>
      </w:r>
    </w:p>
    <w:p>
      <w:pPr>
        <w:pStyle w:val="ListBullet"/>
        <w:ind w:left="360" w:hanging="360"/>
      </w:pPr>
      <w:r>
        <w:rPr>
          <w:rFonts w:ascii="Calibri" w:hAnsi="Calibri"/>
          <w:b/>
          <w:color w:val="525866"/>
          <w:sz w:val="22"/>
        </w:rPr>
        <w:t xml:space="preserve">May 29, 2026 8-K: </w:t>
      </w:r>
      <w:r>
        <w:rPr>
          <w:rFonts w:ascii="Calibri" w:hAnsi="Calibri"/>
          <w:color w:val="525866"/>
          <w:sz w:val="22"/>
        </w:rPr>
        <w:t>Disclosed NCLH’s election to fix the Settlement Method to Cash Settlement for its 1.125% and 2.50% Exchangeable Senior Notes due 2027. Purely a financial instrument/diluted share count matter; no bookings, yield, fuel, or demand commentary.</w:t>
      </w:r>
    </w:p>
    <w:p>
      <w:pPr>
        <w:pStyle w:val="ListBullet"/>
        <w:ind w:left="360" w:hanging="360"/>
      </w:pPr>
      <w:r>
        <w:rPr>
          <w:rFonts w:ascii="Calibri" w:hAnsi="Calibri"/>
          <w:b/>
          <w:color w:val="525866"/>
          <w:sz w:val="22"/>
        </w:rPr>
        <w:t xml:space="preserve">June 11, 2026 8-K: </w:t>
      </w:r>
      <w:r>
        <w:rPr>
          <w:rFonts w:ascii="Calibri" w:hAnsi="Calibri"/>
          <w:color w:val="525866"/>
          <w:sz w:val="22"/>
        </w:rPr>
        <w:t>Reported results of NCLH’s annual general meeting (director elections, executive compensation votes, 2013 Performance Incentive Plan amendment). No operational or forward-looking commentary.</w:t>
      </w:r>
    </w:p>
    <w:p>
      <w:pPr>
        <w:pStyle w:val="ListBullet"/>
        <w:ind w:left="360" w:hanging="360"/>
      </w:pPr>
      <w:r>
        <w:rPr>
          <w:rFonts w:ascii="Calibri" w:hAnsi="Calibri"/>
          <w:color w:val="525866"/>
          <w:sz w:val="22"/>
        </w:rPr>
        <w:t>NCLH Q1 2026 earnings (reported May 4, 2026) fall outside the May 28 – July 27 window and are excluded per the methodology. NCLH’s Q2 2026 earnings call is scheduled for July 30, 2026 — after RCL’s print.</w:t>
      </w:r>
    </w:p>
    <w:p>
      <w:r>
        <w:rPr>
          <w:rFonts w:ascii="Calibri" w:hAnsi="Calibri"/>
          <w:b/>
          <w:color w:val="525866"/>
          <w:sz w:val="22"/>
        </w:rPr>
        <w:t xml:space="preserve">Conclusion: </w:t>
      </w:r>
      <w:r>
        <w:rPr>
          <w:rFonts w:ascii="Calibri" w:hAnsi="Calibri"/>
          <w:i/>
          <w:color w:val="525866"/>
          <w:sz w:val="22"/>
        </w:rPr>
        <w:t>NCLH produced no qualifying operational read-through commentary for RCL’s Q2 2026 reporting quarter in the May 28 – July 27, 2026 window.</w:t>
      </w:r>
    </w:p>
    <w:p>
      <w:r>
        <w:rPr>
          <w:rFonts w:ascii="Calibri" w:hAnsi="Calibri"/>
          <w:i/>
          <w:color w:val="525866"/>
          <w:sz w:val="22"/>
        </w:rPr>
        <w:t>Sources: CCL Q2 2026 Earnings Release (June 23, 2026); CCL Q2 2026 Earnings Call Transcript (June 23, 2026); WSJ “Carnival Says Iran War Disrupted Bookings, Issues Soft Outlook” (June 23, 2026); NCLH 8-K (May 29, 2026); NCLH 8-K (June 11,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buys or sells (Form 4 codes P/S) were identified for RCL in the period from April 30 through July 27, 2026. The absence of insider selling ahead of earnings is a mild positive signal — no insider appears to be reducing exposure ahead of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for RCL in the Apr 30 – Jul 27, 2026 window per SEC Form 4 database query.</w:t>
            </w:r>
          </w:p>
        </w:tc>
      </w:tr>
    </w:tbl>
    <w:p>
      <w:r>
        <w:rPr>
          <w:rFonts w:ascii="Calibri" w:hAnsi="Calibri"/>
          <w:i/>
          <w:color w:val="525866"/>
          <w:sz w:val="22"/>
        </w:rPr>
        <w:t>No open-market insider purchases or sales were found for RCL in the period from April 30 through July 27, 2026 in the SEC Form 4 database. The absence of insider selling is a mild positive signal heading into the print. Any 10b5-1 plan initiations or Rule 144 filings in the period were also not identified. If additional insider activity is disclosed between now and the earnings call, it should be reviewed for context.</w:t>
      </w:r>
    </w:p>
    <w:p>
      <w:r>
        <w:rPr>
          <w:rFonts w:ascii="Calibri" w:hAnsi="Calibri"/>
          <w:i/>
          <w:color w:val="525866"/>
          <w:sz w:val="22"/>
        </w:rPr>
        <w:t>Source: SEC Form 4 Filings Database (insider_transactions dataset, April 30 – July 27, 2026, RCL, transaction codes P/S).</w:t>
      </w:r>
    </w:p>
    <w:p>
      <w:r>
        <w:br w:type="page"/>
      </w:r>
    </w:p>
    <w:p>
      <w:pPr>
        <w:pStyle w:val="Heading2"/>
      </w:pPr>
      <w:r>
        <w:rPr>
          <w:rFonts w:ascii="Calibri" w:hAnsi="Calibri"/>
          <w:b/>
          <w:color w:val="3B4259"/>
          <w:sz w:val="28"/>
        </w:rPr>
        <w:t>Key Risks to the Preview Thesis</w:t>
      </w:r>
    </w:p>
    <w:p>
      <w:pPr>
        <w:pStyle w:val="ListBullet"/>
        <w:ind w:left="360" w:hanging="360"/>
      </w:pPr>
      <w:r>
        <w:rPr>
          <w:rFonts w:ascii="Calibri" w:hAnsi="Calibri"/>
          <w:b/>
          <w:color w:val="525866"/>
          <w:sz w:val="22"/>
        </w:rPr>
        <w:t xml:space="preserve">Upside risks: </w:t>
      </w:r>
      <w:r>
        <w:rPr>
          <w:rFonts w:ascii="Calibri" w:hAnsi="Calibri"/>
          <w:color w:val="525866"/>
          <w:sz w:val="22"/>
        </w:rPr>
        <w:t>Mediterranean booking recovery faster than guided; oil prices fall further below the forward curve (reducing fuel expense below the $1.35B FY guidance); onboard revenue per guest continues to accelerate; TUI Cruises JV contribution recovers faster than the $0.12/share headwind assumed.</w:t>
      </w:r>
    </w:p>
    <w:p>
      <w:pPr>
        <w:pStyle w:val="ListBullet"/>
        <w:ind w:left="360" w:hanging="360"/>
      </w:pPr>
      <w:r>
        <w:rPr>
          <w:rFonts w:ascii="Calibri" w:hAnsi="Calibri"/>
          <w:b/>
          <w:color w:val="525866"/>
          <w:sz w:val="22"/>
        </w:rPr>
        <w:t xml:space="preserve">Downside risks: </w:t>
      </w:r>
      <w:r>
        <w:rPr>
          <w:rFonts w:ascii="Calibri" w:hAnsi="Calibri"/>
          <w:color w:val="525866"/>
          <w:sz w:val="22"/>
        </w:rPr>
        <w:t>Geopolitical re-escalation in the Middle East disrupts Mediterranean bookings again; oil prices spike above current spot levels (RCL is only 40% unhedged for the remainder of 2026, but each 10% move in fuel prices is a meaningful EPS impact); West Coast Mexico itinerary disruption proves more persistent than management expects; broader consumer spending slowdown pressures close-in booking trends.</w:t>
      </w:r>
    </w:p>
    <w:p>
      <w:pPr>
        <w:pStyle w:val="ListBullet"/>
        <w:ind w:left="360" w:hanging="360"/>
      </w:pPr>
      <w:r>
        <w:rPr>
          <w:rFonts w:ascii="Calibri" w:hAnsi="Calibri"/>
          <w:b/>
          <w:color w:val="525866"/>
          <w:sz w:val="22"/>
        </w:rPr>
        <w:t xml:space="preserve">Structural wildcard: </w:t>
      </w:r>
      <w:r>
        <w:rPr>
          <w:rFonts w:ascii="Calibri" w:hAnsi="Calibri"/>
          <w:color w:val="525866"/>
          <w:sz w:val="22"/>
        </w:rPr>
        <w:t>The Perfecta program’s 2027 earnings step-up thesis (Icon VI/VII, Perfect Day Mexico, additional Beach Clubs) is not a Q2 factor but will dominate the Q&amp;A; any change in management’s confidence language on 2027 targets could move the stock more than the Q2 print itself.</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