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-earnings-predictions--2026-07-29"/>
    <w:p>
      <w:pPr>
        <w:pStyle w:val="Heading1"/>
      </w:pPr>
      <w:r>
        <w:t xml:space="preserve">REG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Nareit FFO /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~$1.21 vs. cons $1.20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~2.75% vs. cons 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Earnings /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~$1.16 vs. cons $1.15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Nareit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~$4.85-4.88 (raise/narrow to high end) vs. cons $4.86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Operating Earnings/share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~$4.61-4.64 vs. cons $4.62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~3.25-3.75% (reaffirm, possible narrow up)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Development starts / in-process pipeline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600</m:t>
              </m:r>
              <m:r>
                <m:t>M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r</m:t>
              </m:r>
              <m:r>
                <m:t>o</m:t>
              </m:r>
              <m:r>
                <m:t>c</m:t>
              </m:r>
              <m:r>
                <m:t>e</m:t>
              </m:r>
              <m:r>
                <m:t>s</m:t>
              </m:r>
              <m:r>
                <m:t>s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&gt;</m:t>
              </m:r>
              <m:r>
                <m:t>9</m:t>
              </m:r>
            </m:oMath>
            <w:r>
              <w:t xml:space="preserve">600M (FY2026/3-yr)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SNO pipeline / commenced-occupancy bridge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42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S</m:t>
              </m:r>
              <m:r>
                <m:t>N</m:t>
              </m:r>
              <m:r>
                <m:t>O</m:t>
              </m:r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  <m:r>
                <m:t>r</m:t>
              </m:r>
              <m:r>
                <m:t>e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40M (out-period)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(FADE)</w:t>
            </w:r>
          </w:p>
        </w:tc>
        <w:tc>
          <w:tcPr/>
          <w:p>
            <w:pPr>
              <w:pStyle w:val="Compact"/>
            </w:pPr>
            <w:r>
              <w:t xml:space="preserve">Premium ~16.7x forward FFO and a stock that ran +19% YTD near highs set a high bar; Q2's pre-flagged soft SP NOI 'air pocket' means the reported quarter itself won't drive upward revisions. Even a modest FFO beat and small guide raise/narrow leaves out-period estimates roughly flat (back-half-weighted development starts, decel already in numbers), so consensus doesn't move materially higher. Combined with the Q1-print precedent (shares fell ~2% on a strong report) and the -1.6% idiosyncratic pullback into the print, the path is a fade: any initial pop gets sold as the priced-in premium caps upside and estimates stabilize rather than climb.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2026-07-29T02:09:49Z</dcterms:created>
  <dcterms:modified xsi:type="dcterms:W3CDTF">2026-07-29T02:09:49Z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