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REG (Regency Centers) before writing the preview. Let me gather recent filings, transcripts, and news.I have the document list. Let me read the most recent earnings materials (Q1 2026 release and call) plus the Q1 2026 10-Q MD&amp;A, and check recent news.I have strong context. Let me get the year-ago Q2 2025 comp figures and recent stock price/analyst action.I now have a comprehensive picture. Let me compute a few setup metrics before writing.I have everything I need. Here's the preview.</w:t>
      </w:r>
    </w:p>
    <w:p>
      <w:r>
        <w:pict>
          <v:rect style="width:0;height:1.5pt" o:hralign="center" o:hrstd="t" o:hr="t"/>
        </w:pict>
      </w:r>
    </w:p>
    <w:bookmarkStart w:id="18" w:name="Xa1f2565e936ac3d179482d4ff926a6a5b651f54"/>
    <w:p>
      <w:pPr>
        <w:pStyle w:val="Heading1"/>
      </w:pPr>
      <w:r>
        <w:t xml:space="preserve">Regency Centers (REG) — Q2 2026 Earnings Preview</w:t>
      </w:r>
    </w:p>
    <w:bookmarkStart w:id="9" w:name="Xa01d17d46df5caa8f1214b519bf2deb4e0a3079"/>
    <w:p>
      <w:pPr>
        <w:pStyle w:val="Heading3"/>
      </w:pPr>
      <w:r>
        <w:t xml:space="preserve">Report expected after market close, July 29, 2026 | Conference call July 30</w:t>
      </w:r>
    </w:p>
    <w:bookmarkEnd w:id="9"/>
    <w:bookmarkStart w:id="10" w:name="the-one-liner"/>
    <w:p>
      <w:pPr>
        <w:pStyle w:val="Heading2"/>
      </w:pPr>
      <w:r>
        <w:t xml:space="preserve">The One-Liner</w:t>
      </w:r>
    </w:p>
    <w:p>
      <w:pPr>
        <w:pStyle w:val="FirstParagraph"/>
      </w:pPr>
      <w:r>
        <w:t xml:space="preserve">Regency heads into Q2 as a best-in-class, grocery-anchored strip REIT firing on all cylinders — but with a</w:t>
      </w:r>
      <w:r>
        <w:t xml:space="preserve"> </w:t>
      </w:r>
      <w:r>
        <w:rPr>
          <w:b/>
          <w:bCs/>
        </w:rPr>
        <w:t xml:space="preserve">premium valuation</w:t>
      </w:r>
      <w:r>
        <w:t xml:space="preserve"> </w:t>
      </w:r>
      <w:r>
        <w:t xml:space="preserve">(~16.7x forward FFO), a stock near all-time highs (+19% YTD), and a</w:t>
      </w:r>
      <w:r>
        <w:t xml:space="preserve"> </w:t>
      </w:r>
      <w:r>
        <w:rPr>
          <w:b/>
          <w:bCs/>
        </w:rPr>
        <w:t xml:space="preserve">deliberately telegraphed one-quarter deceleration</w:t>
      </w:r>
      <w:r>
        <w:t xml:space="preserve"> </w:t>
      </w:r>
      <w:r>
        <w:t xml:space="preserve">in same-property NOI. The setup rewards clean execution and a guidance raise; it punishes any wobble in the operating story.</w:t>
      </w:r>
    </w:p>
    <w:p>
      <w:r>
        <w:pict>
          <v:rect style="width:0;height:1.5pt" o:hralign="center" o:hrstd="t" o:hr="t"/>
        </w:pict>
      </w:r>
    </w:p>
    <w:bookmarkEnd w:id="10"/>
    <w:bookmarkStart w:id="11" w:name="Xaf2ee232df269acaf7b67003fa0d16fe8b35c1f"/>
    <w:p>
      <w:pPr>
        <w:pStyle w:val="Heading2"/>
      </w:pPr>
      <w:r>
        <w:t xml:space="preserve">1. What Actually Matters This Quarter</w:t>
      </w:r>
    </w:p>
    <w:p>
      <w:pPr>
        <w:pStyle w:val="FirstParagraph"/>
      </w:pPr>
      <w:r>
        <w:rPr>
          <w:b/>
          <w:bCs/>
        </w:rPr>
        <w:t xml:space="preserve">The Q2 "air pocket" is expected — don't overreact.</w:t>
      </w:r>
      <w:r>
        <w:t xml:space="preserve"> </w:t>
      </w:r>
      <w:r>
        <w:t xml:space="preserve">On the Q1 call, CFO Mike Mas explicitly flagged that</w:t>
      </w:r>
      <w:r>
        <w:t xml:space="preserve"> </w:t>
      </w:r>
      <w:r>
        <w:rPr>
          <w:b/>
          <w:bCs/>
        </w:rPr>
        <w:t xml:space="preserve">Q2 Same-Property NOI would print</w:t>
      </w:r>
      <w:r>
        <w:rPr>
          <w:b/>
          <w:bCs/>
        </w:rPr>
        <w:t xml:space="preserve"> </w:t>
      </w:r>
      <w:r>
        <w:rPr>
          <w:b/>
          <w:bCs/>
          <w:i/>
          <w:iCs/>
        </w:rPr>
        <w:t xml:space="preserve">below</w:t>
      </w:r>
      <w:r>
        <w:rPr>
          <w:b/>
          <w:bCs/>
        </w:rPr>
        <w:t xml:space="preserve"> </w:t>
      </w:r>
      <w:r>
        <w:rPr>
          <w:b/>
          <w:bCs/>
        </w:rPr>
        <w:t xml:space="preserve">the full-year 3.25%–3.75% range</w:t>
      </w:r>
      <w:r>
        <w:t xml:space="preserve">, driven by a tough comp against last year's favorable expense reconciliation (Q2 2025 SP NOI was +7.4% ex-term fees, with base rent +4.5%). Q1 2026 came in hot at +4.4% precisely because of the "uneven nature of other income." So a low-single-digit SP NOI print in Q2 is the plan, not a red flag. The market has been told this — but sentiment-driven investors may still flinch.</w:t>
      </w:r>
      <w:r>
        <w:t xml:space="preserve"> </w:t>
      </w:r>
      <w:r>
        <w:rPr>
          <w:b/>
          <w:bCs/>
        </w:rPr>
        <w:t xml:space="preserve">Watch the reaction, and watch whether base-rent growth (the durable engine, ~3.5–3.6% in Q1) holds up regardless of the optical NOI number.</w:t>
      </w:r>
    </w:p>
    <w:p>
      <w:pPr>
        <w:pStyle w:val="BodyText"/>
      </w:pPr>
      <w:r>
        <w:rPr>
          <w:b/>
          <w:bCs/>
        </w:rPr>
        <w:t xml:space="preserve">Will they raise guidance?</w:t>
      </w:r>
      <w:r>
        <w:t xml:space="preserve"> </w:t>
      </w:r>
      <w:r>
        <w:t xml:space="preserve">Management</w:t>
      </w:r>
      <w:r>
        <w:t xml:space="preserve"> </w:t>
      </w:r>
      <w:r>
        <w:rPr>
          <w:i/>
          <w:iCs/>
        </w:rPr>
        <w:t xml:space="preserve">reaffirmed</w:t>
      </w:r>
      <w:r>
        <w:t xml:space="preserve"> </w:t>
      </w:r>
      <w:r>
        <w:t xml:space="preserve">full-year FFO (</w:t>
      </w:r>
      <m:oMath>
        <m:r>
          <m:t>4.83</m:t>
        </m:r>
        <m:r>
          <m:rPr>
            <m:sty m:val="p"/>
          </m:rPr>
          <m:t>–</m:t>
        </m:r>
      </m:oMath>
      <w:r>
        <w:t xml:space="preserve">4.87), Core Operating Earnings (</w:t>
      </w:r>
      <m:oMath>
        <m:r>
          <m:t>4.59</m:t>
        </m:r>
        <m:r>
          <m:rPr>
            <m:sty m:val="p"/>
          </m:rPr>
          <m:t>–</m:t>
        </m:r>
      </m:oMath>
      <w:r>
        <w:t xml:space="preserve">4.63), and SP NOI at Q1, only nudging up development spend and adding known acquisitions. Recall the pattern: in 2025 they</w:t>
      </w:r>
      <w:r>
        <w:t xml:space="preserve"> </w:t>
      </w:r>
      <w:r>
        <w:rPr>
          <w:i/>
          <w:iCs/>
        </w:rPr>
        <w:t xml:space="preserve">raised</w:t>
      </w:r>
      <w:r>
        <w:t xml:space="preserve"> </w:t>
      </w:r>
      <w:r>
        <w:t xml:space="preserve">FFO guidance at Q2. With a strong Q1 beat, robust leasing, and rising development starts, a modest raise (or at least narrowing to the high end) is the key swing factor for the stock. Implied run-rate suggests Q2 FFO around</w:t>
      </w:r>
      <w:r>
        <w:t xml:space="preserve"> </w:t>
      </w:r>
      <w:r>
        <w:rPr>
          <w:b/>
          <w:bCs/>
        </w:rPr>
        <w:t xml:space="preserve">~</w:t>
      </w:r>
      <m:oMath>
        <m:r>
          <m:t>1.20</m:t>
        </m:r>
        <m:r>
          <m:rPr>
            <m:sty m:val="p"/>
          </m:rPr>
          <m:t>–</m:t>
        </m:r>
      </m:oMath>
      <w:r>
        <w:rPr>
          <w:b/>
          <w:bCs/>
        </w:rPr>
        <w:t xml:space="preserve">1.22</w:t>
      </w:r>
      <w:r>
        <w:t xml:space="preserve"> </w:t>
      </w:r>
      <w:r>
        <w:t xml:space="preserve">(vs.</w:t>
      </w:r>
      <w:r>
        <w:t xml:space="preserve"> </w:t>
      </w:r>
      <m:oMath>
        <m:r>
          <m:t>1.16</m:t>
        </m:r>
        <m:r>
          <m:t>a</m:t>
        </m:r>
        <m:r>
          <m:t>y</m:t>
        </m:r>
        <m:r>
          <m:t>e</m:t>
        </m:r>
        <m:r>
          <m:t>a</m:t>
        </m:r>
        <m:r>
          <m:t>r</m:t>
        </m:r>
        <m:r>
          <m:t>a</m:t>
        </m:r>
        <m:r>
          <m:t>g</m:t>
        </m:r>
        <m:r>
          <m:t>o</m:t>
        </m:r>
        <m:r>
          <m:rPr>
            <m:sty m:val="p"/>
          </m:rPr>
          <m:t>)</m:t>
        </m:r>
        <m:r>
          <m:t>a</m:t>
        </m:r>
        <m:r>
          <m:t>n</m:t>
        </m:r>
        <m:r>
          <m:t>d</m:t>
        </m:r>
        <m:r>
          <m:t>C</m:t>
        </m:r>
        <m:r>
          <m:t>o</m:t>
        </m:r>
        <m:r>
          <m:t>r</m:t>
        </m:r>
        <m:r>
          <m:t>e</m:t>
        </m:r>
        <m:r>
          <m:t>O</m:t>
        </m:r>
        <m:r>
          <m:t>p</m:t>
        </m:r>
        <m:r>
          <m:t>e</m:t>
        </m:r>
        <m:r>
          <m:t>r</m:t>
        </m:r>
        <m:r>
          <m:t>a</m:t>
        </m:r>
        <m:r>
          <m:t>t</m:t>
        </m:r>
        <m:r>
          <m:t>i</m:t>
        </m:r>
        <m:r>
          <m:t>n</m:t>
        </m:r>
        <m:r>
          <m:t>g</m:t>
        </m:r>
        <m:r>
          <m:t>E</m:t>
        </m:r>
        <m:r>
          <m:t>a</m:t>
        </m:r>
        <m:r>
          <m:t>r</m:t>
        </m:r>
        <m:r>
          <m:t>n</m:t>
        </m:r>
        <m:r>
          <m:t>i</m:t>
        </m:r>
        <m:r>
          <m:t>n</m:t>
        </m:r>
        <m:r>
          <m:t>g</m:t>
        </m:r>
        <m:r>
          <m:t>s</m:t>
        </m:r>
        <m:r>
          <m:t>a</m:t>
        </m:r>
        <m:r>
          <m:t>r</m:t>
        </m:r>
        <m:r>
          <m:t>o</m:t>
        </m:r>
        <m:r>
          <m:t>u</m:t>
        </m:r>
        <m:r>
          <m:t>n</m:t>
        </m:r>
        <m:r>
          <m:t>d</m:t>
        </m:r>
        <m:r>
          <m:rPr>
            <m:sty m:val="p"/>
          </m:rPr>
          <m:t>*</m:t>
        </m:r>
        <m:r>
          <m:rPr>
            <m:sty m:val="p"/>
          </m:rPr>
          <m:t>*</m:t>
        </m:r>
        <m:r>
          <m:t> </m:t>
        </m:r>
      </m:oMath>
      <w:r>
        <w:t xml:space="preserve">1.15–$1.17** (vs. $1.10).</w:t>
      </w:r>
    </w:p>
    <w:p>
      <w:r>
        <w:pict>
          <v:rect style="width:0;height:1.5pt" o:hralign="center" o:hrstd="t" o:hr="t"/>
        </w:pict>
      </w:r>
    </w:p>
    <w:bookmarkEnd w:id="11"/>
    <w:bookmarkStart w:id="12" w:name="Xe7533f6352a2bbe8f0669d98193ab69985c71e5"/>
    <w:p>
      <w:pPr>
        <w:pStyle w:val="Heading2"/>
      </w:pPr>
      <w:r>
        <w:t xml:space="preserve">2. Operating Fundamentals — The Bull Case in Numbers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w:t>
            </w:r>
          </w:p>
        </w:tc>
        <w:tc>
          <w:tcPr/>
          <w:p>
            <w:pPr>
              <w:pStyle w:val="Compact"/>
            </w:pPr>
            <w:r>
              <w:t xml:space="preserve">Q2 2025 (yr-ago comp)</w:t>
            </w:r>
          </w:p>
        </w:tc>
        <w:tc>
          <w:tcPr/>
          <w:p>
            <w:pPr>
              <w:pStyle w:val="Compact"/>
            </w:pPr>
            <w:r>
              <w:t xml:space="preserve">What to watch</w:t>
            </w:r>
          </w:p>
        </w:tc>
      </w:tr>
      <w:tr>
        <w:tc>
          <w:tcPr/>
          <w:p>
            <w:pPr>
              <w:pStyle w:val="Compact"/>
            </w:pPr>
            <w:r>
              <w:t xml:space="preserve">Nareit FFO/sh</w:t>
            </w:r>
          </w:p>
        </w:tc>
        <w:tc>
          <w:tcPr/>
          <w:p>
            <w:pPr>
              <w:pStyle w:val="Compact"/>
            </w:pPr>
            <w:r>
              <w:t xml:space="preserve">$1.20</w:t>
            </w:r>
          </w:p>
        </w:tc>
        <w:tc>
          <w:tcPr/>
          <w:p>
            <w:pPr>
              <w:pStyle w:val="Compact"/>
            </w:pPr>
            <w:r>
              <w:t xml:space="preserve">$1.16</w:t>
            </w:r>
          </w:p>
        </w:tc>
        <w:tc>
          <w:tcPr/>
          <w:p>
            <w:pPr>
              <w:pStyle w:val="Compact"/>
            </w:pPr>
            <w:r>
              <w:t xml:space="preserve">~</w:t>
            </w:r>
            <m:oMath>
              <m:r>
                <m:t>1.20</m:t>
              </m:r>
              <m:r>
                <m:rPr>
                  <m:sty m:val="p"/>
                </m:rPr>
                <m:t>–</m:t>
              </m:r>
            </m:oMath>
            <w:r>
              <w:t xml:space="preserve">1.22 expected</w:t>
            </w:r>
          </w:p>
        </w:tc>
      </w:tr>
      <w:tr>
        <w:tc>
          <w:tcPr/>
          <w:p>
            <w:pPr>
              <w:pStyle w:val="Compact"/>
            </w:pPr>
            <w:r>
              <w:t xml:space="preserve">Core Op Earnings/sh</w:t>
            </w:r>
          </w:p>
        </w:tc>
        <w:tc>
          <w:tcPr/>
          <w:p>
            <w:pPr>
              <w:pStyle w:val="Compact"/>
            </w:pPr>
            <w:r>
              <w:t xml:space="preserve">$1.16</w:t>
            </w:r>
          </w:p>
        </w:tc>
        <w:tc>
          <w:tcPr/>
          <w:p>
            <w:pPr>
              <w:pStyle w:val="Compact"/>
            </w:pPr>
            <w:r>
              <w:t xml:space="preserve">$1.10</w:t>
            </w:r>
          </w:p>
        </w:tc>
        <w:tc>
          <w:tcPr/>
          <w:p>
            <w:pPr>
              <w:pStyle w:val="Compact"/>
            </w:pPr>
            <w:r>
              <w:t xml:space="preserve">~</w:t>
            </w:r>
            <m:oMath>
              <m:r>
                <m:t>1.15</m:t>
              </m:r>
              <m:r>
                <m:rPr>
                  <m:sty m:val="p"/>
                </m:rPr>
                <m:t>–</m:t>
              </m:r>
            </m:oMath>
            <w:r>
              <w:t xml:space="preserve">1.17</w:t>
            </w:r>
          </w:p>
        </w:tc>
      </w:tr>
      <w:tr>
        <w:tc>
          <w:tcPr/>
          <w:p>
            <w:pPr>
              <w:pStyle w:val="Compact"/>
            </w:pPr>
            <w:r>
              <w:t xml:space="preserve">SP NOI growth</w:t>
            </w:r>
          </w:p>
        </w:tc>
        <w:tc>
          <w:tcPr/>
          <w:p>
            <w:pPr>
              <w:pStyle w:val="Compact"/>
            </w:pPr>
            <w:r>
              <w:t xml:space="preserve">+4.4%</w:t>
            </w:r>
          </w:p>
        </w:tc>
        <w:tc>
          <w:tcPr/>
          <w:p>
            <w:pPr>
              <w:pStyle w:val="Compact"/>
            </w:pPr>
            <w:r>
              <w:t xml:space="preserve">+7.4% (ex-term)</w:t>
            </w:r>
          </w:p>
        </w:tc>
        <w:tc>
          <w:tcPr/>
          <w:p>
            <w:pPr>
              <w:pStyle w:val="Compact"/>
            </w:pPr>
            <w:r>
              <w:t xml:space="preserve">Guided</w:t>
            </w:r>
            <w:r>
              <w:t xml:space="preserve"> </w:t>
            </w:r>
            <w:r>
              <w:rPr>
                <w:b/>
                <w:bCs/>
              </w:rPr>
              <w:t xml:space="preserve">below</w:t>
            </w:r>
            <w:r>
              <w:t xml:space="preserve"> </w:t>
            </w:r>
            <w:r>
              <w:t xml:space="preserve">FY range this Q</w:t>
            </w:r>
          </w:p>
        </w:tc>
      </w:tr>
      <w:tr>
        <w:tc>
          <w:tcPr/>
          <w:p>
            <w:pPr>
              <w:pStyle w:val="Compact"/>
            </w:pPr>
            <w:r>
              <w:t xml:space="preserve">SP % leased</w:t>
            </w:r>
          </w:p>
        </w:tc>
        <w:tc>
          <w:tcPr/>
          <w:p>
            <w:pPr>
              <w:pStyle w:val="Compact"/>
            </w:pPr>
            <w:r>
              <w:t xml:space="preserve">96.6%</w:t>
            </w:r>
          </w:p>
        </w:tc>
        <w:tc>
          <w:tcPr/>
          <w:p>
            <w:pPr>
              <w:pStyle w:val="Compact"/>
            </w:pPr>
            <w:r>
              <w:t xml:space="preserve">96.5%</w:t>
            </w:r>
          </w:p>
        </w:tc>
        <w:tc>
          <w:tcPr/>
          <w:p>
            <w:pPr>
              <w:pStyle w:val="Compact"/>
            </w:pPr>
            <w:r>
              <w:t xml:space="preserve">Near/at prior peak</w:t>
            </w:r>
          </w:p>
        </w:tc>
      </w:tr>
      <w:tr>
        <w:tc>
          <w:tcPr/>
          <w:p>
            <w:pPr>
              <w:pStyle w:val="Compact"/>
            </w:pPr>
            <w:r>
              <w:t xml:space="preserve">SP % commenced</w:t>
            </w:r>
          </w:p>
        </w:tc>
        <w:tc>
          <w:tcPr/>
          <w:p>
            <w:pPr>
              <w:pStyle w:val="Compact"/>
            </w:pPr>
            <w:r>
              <w:t xml:space="preserve">94.3%</w:t>
            </w:r>
          </w:p>
        </w:tc>
        <w:tc>
          <w:tcPr/>
          <w:p>
            <w:pPr>
              <w:pStyle w:val="Compact"/>
            </w:pPr>
            <w:r>
              <w:t xml:space="preserve">93.9%</w:t>
            </w:r>
          </w:p>
        </w:tc>
        <w:tc>
          <w:tcPr/>
          <w:p>
            <w:pPr>
              <w:pStyle w:val="Compact"/>
            </w:pPr>
            <w:r>
              <w:t xml:space="preserve">~230bp lease-to-commence gap = SNO runway</w:t>
            </w:r>
          </w:p>
        </w:tc>
      </w:tr>
      <w:tr>
        <w:tc>
          <w:tcPr/>
          <w:p>
            <w:pPr>
              <w:pStyle w:val="Compact"/>
            </w:pPr>
            <w:r>
              <w:t xml:space="preserve">Cash leasing spreads</w:t>
            </w:r>
          </w:p>
        </w:tc>
        <w:tc>
          <w:tcPr/>
          <w:p>
            <w:pPr>
              <w:pStyle w:val="Compact"/>
            </w:pPr>
            <w:r>
              <w:t xml:space="preserve">+12.1%</w:t>
            </w:r>
          </w:p>
        </w:tc>
        <w:tc>
          <w:tcPr/>
          <w:p>
            <w:pPr>
              <w:pStyle w:val="Compact"/>
            </w:pPr>
            <w:r>
              <w:t xml:space="preserve">+10.0%</w:t>
            </w:r>
          </w:p>
        </w:tc>
        <w:tc>
          <w:tcPr/>
          <w:p>
            <w:pPr>
              <w:pStyle w:val="Compact"/>
            </w:pPr>
            <w:r>
              <w:t xml:space="preserve">Pricing power intact</w:t>
            </w:r>
          </w:p>
        </w:tc>
      </w:tr>
    </w:tbl>
    <w:p>
      <w:pPr>
        <w:pStyle w:val="BodyText"/>
      </w:pPr>
      <w:r>
        <w:rPr>
          <w:b/>
          <w:bCs/>
        </w:rPr>
        <w:t xml:space="preserve">Occupancy is the story within the story.</w:t>
      </w:r>
      <w:r>
        <w:t xml:space="preserve"> </w:t>
      </w:r>
      <w:r>
        <w:t xml:space="preserve">Leased occupancy (~96.6%) is essentially back to the prior peak, but</w:t>
      </w:r>
      <w:r>
        <w:t xml:space="preserve"> </w:t>
      </w:r>
      <w:r>
        <w:rPr>
          <w:b/>
          <w:bCs/>
        </w:rPr>
        <w:t xml:space="preserve">commenced occupancy still has room to run</w:t>
      </w:r>
      <w:r>
        <w:t xml:space="preserve">, and the signed-not-open (SNO) pipeline represents **~$42M of incremental base rent** — a visible, contracted tailwind. Management framed the year as "shrinking the gap" between leased and commenced, which amplifies base-rent and recovery income. Anchor leasing (98.2% leased) is where Alan Roth sees the most remaining upside. Watch the SNO pipeline size and the commenced rate — this is the near-term NOI bridge.</w:t>
      </w:r>
    </w:p>
    <w:p>
      <w:pPr>
        <w:pStyle w:val="BodyText"/>
      </w:pPr>
      <w:r>
        <w:rPr>
          <w:b/>
          <w:bCs/>
        </w:rPr>
        <w:t xml:space="preserve">Leasing quality:</w:t>
      </w:r>
      <w:r>
        <w:t xml:space="preserve"> </w:t>
      </w:r>
      <w:r>
        <w:t xml:space="preserve">In Q1, 90% of new shop leases carried ≥3% annual rent steps (a quarter at ≥4%), embedding durable, above-inflation growth. Confirm this trend continues.</w:t>
      </w:r>
    </w:p>
    <w:p>
      <w:r>
        <w:pict>
          <v:rect style="width:0;height:1.5pt" o:hralign="center" o:hrstd="t" o:hr="t"/>
        </w:pict>
      </w:r>
    </w:p>
    <w:bookmarkEnd w:id="12"/>
    <w:bookmarkStart w:id="13" w:name="X787370a596d4a8fa02a00ed6785219705e54f3b"/>
    <w:p>
      <w:pPr>
        <w:pStyle w:val="Heading2"/>
      </w:pPr>
      <w:r>
        <w:t xml:space="preserve">3. The Differentiator: Development Platform</w:t>
      </w:r>
    </w:p>
    <w:p>
      <w:pPr>
        <w:pStyle w:val="FirstParagraph"/>
      </w:pPr>
      <w:r>
        <w:t xml:space="preserve">This is Regency's external-growth engine and the justification for its premium multiple. Key data points to track:</w:t>
      </w:r>
    </w:p>
    <w:p>
      <w:pPr>
        <w:pStyle w:val="Compact"/>
        <w:numPr>
          <w:ilvl w:val="0"/>
          <w:numId w:val="1001"/>
        </w:numPr>
      </w:pPr>
      <w:r>
        <w:t xml:space="preserve">In-process pipeline</w:t>
      </w:r>
      <w:r>
        <w:t xml:space="preserve"> </w:t>
      </w:r>
      <w:r>
        <w:rPr>
          <w:b/>
          <w:bCs/>
        </w:rPr>
        <w:t xml:space="preserve">exceeds $600M</w:t>
      </w:r>
      <w:r>
        <w:t xml:space="preserve"> </w:t>
      </w:r>
      <w:r>
        <w:t xml:space="preserve">at blended yields</w:t>
      </w:r>
      <w:r>
        <w:t xml:space="preserve"> </w:t>
      </w:r>
      <w:r>
        <w:rPr>
          <w:b/>
          <w:bCs/>
        </w:rPr>
        <w:t xml:space="preserve">&gt;9%</w:t>
      </w:r>
      <w:r>
        <w:t xml:space="preserve">; new ground-up underwriting still targeting</w:t>
      </w:r>
      <w:r>
        <w:t xml:space="preserve"> </w:t>
      </w:r>
      <w:r>
        <w:rPr>
          <w:b/>
          <w:bCs/>
        </w:rPr>
        <w:t xml:space="preserve">~7%+</w:t>
      </w:r>
      <w:r>
        <w:t xml:space="preserve">.</w:t>
      </w:r>
    </w:p>
    <w:p>
      <w:pPr>
        <w:pStyle w:val="Compact"/>
        <w:numPr>
          <w:ilvl w:val="0"/>
          <w:numId w:val="1001"/>
        </w:numPr>
      </w:pPr>
      <w:r>
        <w:t xml:space="preserve">Management sees **&gt;</w:t>
      </w:r>
      <m:oMath>
        <m:r>
          <m:t>1</m:t>
        </m:r>
        <m:r>
          <m:t>B</m:t>
        </m:r>
        <m:r>
          <m:t>o</m:t>
        </m:r>
        <m:r>
          <m:t>f</m:t>
        </m:r>
        <m:r>
          <m:t>p</m:t>
        </m:r>
        <m:r>
          <m:t>r</m:t>
        </m:r>
        <m:r>
          <m:t>o</m:t>
        </m:r>
        <m:r>
          <m:t>j</m:t>
        </m:r>
        <m:r>
          <m:t>e</m:t>
        </m:r>
        <m:r>
          <m:t>c</m:t>
        </m:r>
        <m:r>
          <m:t>t</m:t>
        </m:r>
        <m:r>
          <m:t>s</m:t>
        </m:r>
        <m:r>
          <m:t>t</m:t>
        </m:r>
        <m:r>
          <m:t>a</m:t>
        </m:r>
        <m:r>
          <m:t>r</m:t>
        </m:r>
        <m:r>
          <m:t>t</m:t>
        </m:r>
        <m:r>
          <m:t>s</m:t>
        </m:r>
        <m:r>
          <m:t>o</m:t>
        </m:r>
        <m:r>
          <m:t>v</m:t>
        </m:r>
        <m:r>
          <m:t>e</m:t>
        </m:r>
        <m:r>
          <m:t>r</m:t>
        </m:r>
        <m:r>
          <m:t>t</m:t>
        </m:r>
        <m:r>
          <m:t>h</m:t>
        </m:r>
        <m:r>
          <m:t>e</m:t>
        </m:r>
        <m:r>
          <m:t>n</m:t>
        </m:r>
        <m:r>
          <m:t>e</m:t>
        </m:r>
        <m:r>
          <m:t>x</m:t>
        </m:r>
        <m:r>
          <m:t>t</m:t>
        </m:r>
        <m:r>
          <m:t>3</m:t>
        </m:r>
        <m:r>
          <m:t>y</m:t>
        </m:r>
        <m:r>
          <m:t>e</m:t>
        </m:r>
        <m:r>
          <m:t>a</m:t>
        </m:r>
        <m:r>
          <m:t>r</m:t>
        </m:r>
        <m:r>
          <m:t>s</m:t>
        </m:r>
        <m:r>
          <m:rPr>
            <m:sty m:val="p"/>
          </m:rPr>
          <m:t>*</m:t>
        </m:r>
        <m:r>
          <m:rPr>
            <m:sty m:val="p"/>
          </m:rPr>
          <m:t>*</m:t>
        </m:r>
        <m:r>
          <m:rPr>
            <m:sty m:val="p"/>
          </m:rPr>
          <m:t>(</m:t>
        </m:r>
        <m:r>
          <m:t>t</m:t>
        </m:r>
        <m:r>
          <m:t>h</m:t>
        </m:r>
        <m:r>
          <m:t>e</m:t>
        </m:r>
        <m:sSup>
          <m:e>
            <m:r>
              <m:t>y</m:t>
            </m:r>
          </m:e>
          <m:sup>
            <m:r>
              <m:rPr>
                <m:sty m:val="p"/>
              </m:rPr>
              <m:t>′</m:t>
            </m:r>
          </m:sup>
        </m:sSup>
        <m:r>
          <m:t>v</m:t>
        </m:r>
        <m:r>
          <m:t>e</m:t>
        </m:r>
        <m:r>
          <m:t>s</m:t>
        </m:r>
        <m:r>
          <m:t>t</m:t>
        </m:r>
        <m:r>
          <m:t>a</m:t>
        </m:r>
        <m:r>
          <m:t>r</m:t>
        </m:r>
        <m:r>
          <m:t>t</m:t>
        </m:r>
        <m:r>
          <m:t>e</m:t>
        </m:r>
        <m:r>
          <m:t>d</m:t>
        </m:r>
        <m:r>
          <m:t> </m:t>
        </m:r>
      </m:oMath>
      <w:r>
        <w:t xml:space="preserve">800M+ over the last three).</w:t>
      </w:r>
    </w:p>
    <w:p>
      <w:pPr>
        <w:pStyle w:val="Compact"/>
        <w:numPr>
          <w:ilvl w:val="0"/>
          <w:numId w:val="1001"/>
        </w:numPr>
      </w:pPr>
      <w:r>
        <w:t xml:space="preserve">Starts are</w:t>
      </w:r>
      <w:r>
        <w:t xml:space="preserve"> </w:t>
      </w:r>
      <w:r>
        <w:rPr>
          <w:b/>
          <w:bCs/>
        </w:rPr>
        <w:t xml:space="preserve">lumpy and back-half-weighted in 2026</w:t>
      </w:r>
      <w:r>
        <w:t xml:space="preserve">, setting up 2027+ deliveries. They raised development</w:t>
      </w:r>
      <w:r>
        <w:t xml:space="preserve"> </w:t>
      </w:r>
      <w:r>
        <w:rPr>
          <w:i/>
          <w:iCs/>
        </w:rPr>
        <w:t xml:space="preserve">spend</w:t>
      </w:r>
      <w:r>
        <w:t xml:space="preserve"> </w:t>
      </w:r>
      <w:r>
        <w:t xml:space="preserve">guidance at Q1 (this is spend, not starts, guidance — a nuance management stressed).</w:t>
      </w:r>
    </w:p>
    <w:p>
      <w:pPr>
        <w:pStyle w:val="Compact"/>
        <w:numPr>
          <w:ilvl w:val="0"/>
          <w:numId w:val="1001"/>
        </w:numPr>
      </w:pPr>
      <w:r>
        <w:rPr>
          <w:b/>
          <w:bCs/>
        </w:rPr>
        <w:t xml:space="preserve">Total NOI growth is guided &gt;6%</w:t>
      </w:r>
      <w:r>
        <w:t xml:space="preserve">, well above SP NOI, reflecting development deliveries + last year's acquisitions.</w:t>
      </w:r>
    </w:p>
    <w:p>
      <w:pPr>
        <w:pStyle w:val="FirstParagraph"/>
      </w:pPr>
      <w:r>
        <w:t xml:space="preserve">Watch for: new project announcements, updated pipeline size/yields, and any commentary on construction costs, land pricing, and whether master-planned-community sourcing (their sweet spot) remains healthy.</w:t>
      </w:r>
    </w:p>
    <w:p>
      <w:r>
        <w:pict>
          <v:rect style="width:0;height:1.5pt" o:hralign="center" o:hrstd="t" o:hr="t"/>
        </w:pict>
      </w:r>
    </w:p>
    <w:bookmarkEnd w:id="13"/>
    <w:bookmarkStart w:id="14" w:name="X8abb2dcce58937a4c6f6c4c1bc7a17202fa792c"/>
    <w:p>
      <w:pPr>
        <w:pStyle w:val="Heading2"/>
      </w:pPr>
      <w:r>
        <w:t xml:space="preserve">4. Balance Sheet &amp; Capital Allocation</w:t>
      </w:r>
    </w:p>
    <w:p>
      <w:pPr>
        <w:pStyle w:val="Compact"/>
        <w:numPr>
          <w:ilvl w:val="0"/>
          <w:numId w:val="1002"/>
        </w:numPr>
      </w:pPr>
      <w:r>
        <w:rPr>
          <w:b/>
          <w:bCs/>
        </w:rPr>
        <w:t xml:space="preserve">Leverage 5.2x</w:t>
      </w:r>
      <w:r>
        <w:t xml:space="preserve"> </w:t>
      </w:r>
      <w:r>
        <w:t xml:space="preserve">net debt+preferred/EBITDAre — near the low end of the 5.0–5.5x target. A-rated by both Moody's and S&amp;P.</w:t>
      </w:r>
    </w:p>
    <w:p>
      <w:pPr>
        <w:pStyle w:val="Compact"/>
        <w:numPr>
          <w:ilvl w:val="0"/>
          <w:numId w:val="1002"/>
        </w:numPr>
      </w:pPr>
      <w:r>
        <w:t xml:space="preserve">February 2026: issued</w:t>
      </w:r>
      <w:r>
        <w:t xml:space="preserve"> </w:t>
      </w:r>
      <m:oMath>
        <m:r>
          <m:t>450</m:t>
        </m:r>
        <m:r>
          <m:t>M</m:t>
        </m:r>
        <m:r>
          <m:t>o</m:t>
        </m:r>
        <m:r>
          <m:t>f</m:t>
        </m:r>
        <m:r>
          <m:t>7</m:t>
        </m:r>
        <m:r>
          <m:rPr>
            <m:sty m:val="p"/>
          </m:rPr>
          <m:t>−</m:t>
        </m:r>
        <m:r>
          <m:t>y</m:t>
        </m:r>
        <m:r>
          <m:t>r</m:t>
        </m:r>
        <m:r>
          <m:t>n</m:t>
        </m:r>
        <m:r>
          <m:t>o</m:t>
        </m:r>
        <m:r>
          <m:t>t</m:t>
        </m:r>
        <m:r>
          <m:t>e</m:t>
        </m:r>
        <m:r>
          <m:t>s</m:t>
        </m:r>
        <m:r>
          <m:t>a</m:t>
        </m:r>
        <m:r>
          <m:t>t</m:t>
        </m:r>
        <m:r>
          <m:t>4.50</m:t>
        </m:r>
      </m:oMath>
      <w:r>
        <w:rPr>
          <w:b/>
          <w:bCs/>
        </w:rPr>
        <w:t xml:space="preserve">1.5B undrawn</w:t>
      </w:r>
      <w:r>
        <w:t xml:space="preserve"> </w:t>
      </w:r>
      <w:r>
        <w:t xml:space="preserve">on the revolver. Fully funded on development with</w:t>
      </w:r>
      <w:r>
        <w:t xml:space="preserve"> </w:t>
      </w:r>
      <w:r>
        <w:rPr>
          <w:b/>
          <w:bCs/>
        </w:rPr>
        <w:t xml:space="preserve">no need to issue equity or sell assets</w:t>
      </w:r>
      <w:r>
        <w:t xml:space="preserve">.</w:t>
      </w:r>
    </w:p>
    <w:p>
      <w:pPr>
        <w:pStyle w:val="Compact"/>
        <w:numPr>
          <w:ilvl w:val="0"/>
          <w:numId w:val="1002"/>
        </w:numPr>
      </w:pPr>
      <w:r>
        <w:rPr>
          <w:b/>
          <w:bCs/>
        </w:rPr>
        <w:t xml:space="preserve">$500M buyback authorization</w:t>
      </w:r>
      <w:r>
        <w:t xml:space="preserve"> </w:t>
      </w:r>
      <w:r>
        <w:t xml:space="preserve">refreshed in February 2026 (runs to Feb 2029). With the stock near highs, actual repurchase activity has likely been minimal, but any commentary here is worth noting.</w:t>
      </w:r>
    </w:p>
    <w:p>
      <w:pPr>
        <w:pStyle w:val="Compact"/>
        <w:numPr>
          <w:ilvl w:val="0"/>
          <w:numId w:val="1002"/>
        </w:numPr>
      </w:pPr>
      <w:r>
        <w:t xml:space="preserve">Acquisitions guidance now includes known deals (~$25M); management remains "opportunistic" on equity issuance given the higher share price.</w:t>
      </w:r>
    </w:p>
    <w:p>
      <w:r>
        <w:pict>
          <v:rect style="width:0;height:1.5pt" o:hralign="center" o:hrstd="t" o:hr="t"/>
        </w:pict>
      </w:r>
    </w:p>
    <w:bookmarkEnd w:id="14"/>
    <w:bookmarkStart w:id="15" w:name="Xc38b819fbb6bcebfe6ac701716fb53c71c1dfa9"/>
    <w:p>
      <w:pPr>
        <w:pStyle w:val="Heading2"/>
      </w:pPr>
      <w:r>
        <w:t xml:space="preserve">5. Consumer / Macro Watch</w:t>
      </w:r>
    </w:p>
    <w:p>
      <w:pPr>
        <w:pStyle w:val="FirstParagraph"/>
      </w:pPr>
      <w:r>
        <w:t xml:space="preserve">Management leaned hard on the defensive, necessity/value/convenience positioning of grocery-anchored centers. Key reassurances from Q1 to re-test in Q2:</w:t>
      </w:r>
    </w:p>
    <w:p>
      <w:pPr>
        <w:pStyle w:val="Compact"/>
        <w:numPr>
          <w:ilvl w:val="0"/>
          <w:numId w:val="1003"/>
        </w:numPr>
      </w:pPr>
      <w:r>
        <w:rPr>
          <w:b/>
          <w:bCs/>
        </w:rPr>
        <w:t xml:space="preserve">Foot traffic accelerated</w:t>
      </w:r>
      <w:r>
        <w:t xml:space="preserve"> </w:t>
      </w:r>
      <w:r>
        <w:t xml:space="preserve">— up 2.3% in Q1 and up ~3% in April</w:t>
      </w:r>
      <w:r>
        <w:t xml:space="preserve"> </w:t>
      </w:r>
      <w:r>
        <w:rPr>
          <w:i/>
          <w:iCs/>
        </w:rPr>
        <w:t xml:space="preserve">despite</w:t>
      </w:r>
      <w:r>
        <w:t xml:space="preserve"> </w:t>
      </w:r>
      <w:r>
        <w:t xml:space="preserve">higher fuel prices (trade-down benefits their centers).</w:t>
      </w:r>
    </w:p>
    <w:p>
      <w:pPr>
        <w:pStyle w:val="Compact"/>
        <w:numPr>
          <w:ilvl w:val="0"/>
          <w:numId w:val="1003"/>
        </w:numPr>
      </w:pPr>
      <w:r>
        <w:rPr>
          <w:b/>
          <w:bCs/>
        </w:rPr>
        <w:t xml:space="preserve">Bad debt near record lows</w:t>
      </w:r>
      <w:r>
        <w:t xml:space="preserve">; tenant sales and collections healthy.</w:t>
      </w:r>
    </w:p>
    <w:p>
      <w:pPr>
        <w:pStyle w:val="Compact"/>
        <w:numPr>
          <w:ilvl w:val="0"/>
          <w:numId w:val="1003"/>
        </w:numPr>
      </w:pPr>
      <w:r>
        <w:rPr>
          <w:b/>
          <w:bCs/>
        </w:rPr>
        <w:t xml:space="preserve">Bankruptcy overhang remains the swing risk:</w:t>
      </w:r>
      <w:r>
        <w:t xml:space="preserve"> </w:t>
      </w:r>
      <w:r>
        <w:t xml:space="preserve">management noted ongoing tenant bankruptcy filings still working through the system, plus one lease moved to cash basis in Q1. Move-outs from bankruptcies (vs. routine bad debt) are the item to monitor. Little new retail supply keeps the backfill environment favorable.</w:t>
      </w:r>
    </w:p>
    <w:p>
      <w:r>
        <w:pict>
          <v:rect style="width:0;height:1.5pt" o:hralign="center" o:hrstd="t" o:hr="t"/>
        </w:pict>
      </w:r>
    </w:p>
    <w:bookmarkEnd w:id="15"/>
    <w:bookmarkStart w:id="16" w:name="Xa625750ed050cfef7fa3ae63afba7bb3646582f"/>
    <w:p>
      <w:pPr>
        <w:pStyle w:val="Heading2"/>
      </w:pPr>
      <w:r>
        <w:t xml:space="preserve">6. Valuation &amp; Positioning — The Bear Case</w:t>
      </w:r>
    </w:p>
    <w:p>
      <w:pPr>
        <w:pStyle w:val="Compact"/>
        <w:numPr>
          <w:ilvl w:val="0"/>
          <w:numId w:val="1004"/>
        </w:numPr>
      </w:pPr>
      <w:r>
        <w:t xml:space="preserve">Stock closed</w:t>
      </w:r>
      <w:r>
        <w:t xml:space="preserve"> </w:t>
      </w:r>
      <w:r>
        <w:rPr>
          <w:b/>
          <w:bCs/>
        </w:rPr>
        <w:t xml:space="preserve">$80.99 (7/28)</w:t>
      </w:r>
      <w:r>
        <w:t xml:space="preserve">, up</w:t>
      </w:r>
      <w:r>
        <w:t xml:space="preserve"> </w:t>
      </w:r>
      <w:r>
        <w:rPr>
          <w:b/>
          <w:bCs/>
        </w:rPr>
        <w:t xml:space="preserve">~19% YTD</w:t>
      </w:r>
      <w:r>
        <w:t xml:space="preserve"> </w:t>
      </w:r>
      <w:r>
        <w:t xml:space="preserve">and roughly 1% off its late-June high — a strong run into the print.</w:t>
      </w:r>
    </w:p>
    <w:p>
      <w:pPr>
        <w:pStyle w:val="Compact"/>
        <w:numPr>
          <w:ilvl w:val="0"/>
          <w:numId w:val="1004"/>
        </w:numPr>
      </w:pPr>
      <w:r>
        <w:t xml:space="preserve">At ~</w:t>
      </w:r>
      <w:r>
        <w:rPr>
          <w:b/>
          <w:bCs/>
        </w:rPr>
        <w:t xml:space="preserve">16.7x</w:t>
      </w:r>
      <w:r>
        <w:t xml:space="preserve"> </w:t>
      </w:r>
      <w:r>
        <w:t xml:space="preserve">the midpoint of 2026 FFO guidance, REG trades at a premium to most strip-center peers. That premium is</w:t>
      </w:r>
      <w:r>
        <w:t xml:space="preserve"> </w:t>
      </w:r>
      <w:r>
        <w:rPr>
          <w:i/>
          <w:iCs/>
        </w:rPr>
        <w:t xml:space="preserve">earned</w:t>
      </w:r>
      <w:r>
        <w:t xml:space="preserve"> </w:t>
      </w:r>
      <w:r>
        <w:t xml:space="preserve">(best-in-class portfolio, development moat, A-rated balance sheet, top-quartile SP NOI track record), but it leaves little cushion for disappointment.</w:t>
      </w:r>
    </w:p>
    <w:p>
      <w:pPr>
        <w:pStyle w:val="Compact"/>
        <w:numPr>
          <w:ilvl w:val="0"/>
          <w:numId w:val="1004"/>
        </w:numPr>
      </w:pPr>
      <w:r>
        <w:t xml:space="preserve">The Q1 reaction is instructive: shares fell ~2% the day of a strong report — a classic "high bar" dynamic. One analyst (Deutsche Bank's Okusanya) explicitly asked how REG keeps outperforming when the whole sector's backdrop is good and the premium is already in the price. CEO Lisa Palmer's answer: the combination of portfolio quality, development platform, balance sheet, and team drives at-or-near-top-of-sector SP NOI growth</w:t>
      </w:r>
      <w:r>
        <w:t xml:space="preserve"> </w:t>
      </w:r>
      <w:r>
        <w:rPr>
          <w:i/>
          <w:iCs/>
        </w:rPr>
        <w:t xml:space="preserve">using less capital</w:t>
      </w:r>
      <w:r>
        <w:t xml:space="preserve">.</w:t>
      </w:r>
    </w:p>
    <w:p>
      <w:r>
        <w:pict>
          <v:rect style="width:0;height:1.5pt" o:hralign="center" o:hrstd="t" o:hr="t"/>
        </w:pict>
      </w:r>
    </w:p>
    <w:bookmarkEnd w:id="16"/>
    <w:bookmarkStart w:id="17" w:name="Xb3f33af664234711c750b304f6369178f6fb6d3"/>
    <w:p>
      <w:pPr>
        <w:pStyle w:val="Heading2"/>
      </w:pPr>
      <w:r>
        <w:t xml:space="preserve">Bottom Line — What Would Make This a Good vs. Bad Print</w:t>
      </w:r>
    </w:p>
    <w:p>
      <w:pPr>
        <w:pStyle w:val="FirstParagraph"/>
      </w:pPr>
      <w:r>
        <w:rPr>
          <w:b/>
          <w:bCs/>
        </w:rPr>
        <w:t xml:space="preserve">Bullish signals:</w:t>
      </w:r>
      <w:r>
        <w:t xml:space="preserve"> </w:t>
      </w:r>
      <w:r>
        <w:t xml:space="preserve">a guidance raise (or narrowing to the high end); base-rent growth holding ~3.5%+; commenced occupancy climbing and SNO pipeline growing; new development starts/announcements; benign bankruptcy commentary; continued strong leasing spreads.</w:t>
      </w:r>
    </w:p>
    <w:p>
      <w:pPr>
        <w:pStyle w:val="BodyText"/>
      </w:pPr>
      <w:r>
        <w:rPr>
          <w:b/>
          <w:bCs/>
        </w:rPr>
        <w:t xml:space="preserve">Bearish signals:</w:t>
      </w:r>
      <w:r>
        <w:t xml:space="preserve"> </w:t>
      </w:r>
      <w:r>
        <w:t xml:space="preserve">SP NOI missing even the pre-flagged soft Q2; any hint of tenant health deterioration or larger bankruptcy fallout; development starts slipping without offset; guidance merely reaffirmed while peers raise; soft leasing spreads.</w:t>
      </w:r>
    </w:p>
    <w:p>
      <w:pPr>
        <w:pStyle w:val="BodyText"/>
      </w:pPr>
      <w:r>
        <w:t xml:space="preserve">Given the premium multiple and the run into earnings,</w:t>
      </w:r>
      <w:r>
        <w:t xml:space="preserve"> </w:t>
      </w:r>
      <w:r>
        <w:rPr>
          <w:b/>
          <w:bCs/>
        </w:rPr>
        <w:t xml:space="preserve">the risk/reward skews toward "beat-and-raise needed to move higher."</w:t>
      </w:r>
      <w:r>
        <w:t xml:space="preserve"> </w:t>
      </w:r>
      <w:r>
        <w:t xml:space="preserve">The operating story is arguably the cleanest in the shopping-center space — the debate is entirely about how much of that is already priced in.</w:t>
      </w:r>
    </w:p>
    <w:p>
      <w:r>
        <w:pict>
          <v:rect style="width:0;height:1.5pt" o:hralign="center" o:hrstd="t" o:hr="t"/>
        </w:pict>
      </w:r>
    </w:p>
    <w:p>
      <w:pPr>
        <w:pStyle w:val="FirstParagraph"/>
      </w:pPr>
      <w:r>
        <w:rPr>
          <w:i/>
          <w:iCs/>
        </w:rPr>
        <w:t xml:space="preserve">Sources: Regency Centers Q1 2026 and Q2 2025 earnings releases; Q1 2026 earnings call transcript (Apr 30, 2026); Finnhub daily closing prices. Estimates are illustrative, derived from company guidance — not a formal consensus. Figures are preliminary/pro-rata and subject to 10-Q adjustment.</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2026-07-29T02:09:49Z</dcterms:created>
  <dcterms:modified xsi:type="dcterms:W3CDTF">2026-07-29T02:09:49Z</dcterms:modified>
</cp:coreProperties>
</file>

<file path=docProps/custom.xml><?xml version="1.0" encoding="utf-8"?>
<Properties xmlns="http://schemas.openxmlformats.org/officeDocument/2006/custom-properties" xmlns:vt="http://schemas.openxmlformats.org/officeDocument/2006/docPropsVTypes"/>
</file>