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reg-earnings-predictions--2026-07-29"/>
    <w:p>
      <w:pPr>
        <w:pStyle w:val="Heading1"/>
      </w:pPr>
      <w:r>
        <w:t xml:space="preserve">REG Earnings Predictions — 2026-07-29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REG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Nareit FFO per diluted share (Q2 2026)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~$1.20 vs. cons $1.20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REG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Same Property NOI growth (Q2 2026, y/y)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~2.5% vs. cons 2.6%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REG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Total Revenue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~$411M vs. cons $407M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REG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Nareit FFO per share guidance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~$4.85 (reaffirm</w:t>
            </w:r>
            <w:r>
              <w:t xml:space="preserve"> </w:t>
            </w:r>
            <m:oMath>
              <m:r>
                <m:t>4.83</m:t>
              </m:r>
              <m:r>
                <m:rPr>
                  <m:sty m:val="p"/>
                </m:rPr>
                <m:t>−</m:t>
              </m:r>
            </m:oMath>
            <w:r>
              <w:t xml:space="preserve">4.87) vs. cons $4.85 (FY2026)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REG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Same Property NOI growth guidance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~3.5% midpoint (reaffirm 3.25%-3.75%) vs. cons 3.5%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REG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Development/redevelopment spend guidance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350</m:t>
              </m:r>
              <m:r>
                <m:rPr>
                  <m:sty m:val="p"/>
                </m:rPr>
                <m:t>−</m:t>
              </m:r>
              <m:r>
                <m:t>375</m:t>
              </m:r>
              <m:r>
                <m:t>M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340M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REG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Bad debt / uncollectible lease income commentary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~75bps of revenue (at/slightly below historical avg) vs. cons ~75bps (FY2026)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REG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+0.3%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REG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+0.2% (STABILIZE)</w:t>
            </w:r>
          </w:p>
        </w:tc>
        <w:tc>
          <w:tcPr/>
          <w:p>
            <w:pPr>
              <w:pStyle w:val="Compact"/>
            </w:pPr>
            <w:r>
              <w:t xml:space="preserve">Q2 softness in headline Same-Property NOI was explicitly pre-announced last quarter (tough expense-recovery comp), so it's already embedded in consensus/guidance and shouldn't trigger fresh downward revisions to FY26/FY27 estimates. With FY guidance merely reaffirmed (not raised) and no change to the out-period FFO growth algorithm, there's little forward-estimate math to drive a big multi-day move either way — the stock, already up ~22% off its Dec low and near 52-week highs heading into the print, likely sees a muted initial reaction that holds rather than extends (no re-rating catalyst) or reverses sharply (no real negative surprise given management pre-telegraphed the comp issue and peer BRX's beat-and-raise supports sector fundamentals).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2026-07-29T02:13:10Z</dcterms:created>
  <dcterms:modified xsi:type="dcterms:W3CDTF">2026-07-29T02:13:10Z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