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a1f2565e936ac3d179482d4ff926a6a5b651f54"/>
    <w:p>
      <w:pPr>
        <w:pStyle w:val="Heading1"/>
      </w:pPr>
      <w:r>
        <w:t xml:space="preserve">Regency Centers (REG) — Q2 2026 Earnings Preview</w:t>
      </w:r>
    </w:p>
    <w:p>
      <w:pPr>
        <w:pStyle w:val="FirstParagraph"/>
      </w:pPr>
      <w:r>
        <w:rPr>
          <w:b/>
          <w:bCs/>
        </w:rPr>
        <w:t xml:space="preserve">Report Date:</w:t>
      </w:r>
      <w:r>
        <w:t xml:space="preserve"> </w:t>
      </w:r>
      <w:r>
        <w:t xml:space="preserve">Wednesday, July 29, 2026 (after market close) |</w:t>
      </w:r>
      <w:r>
        <w:t xml:space="preserve"> </w:t>
      </w:r>
      <w:r>
        <w:rPr>
          <w:b/>
          <w:bCs/>
        </w:rPr>
        <w:t xml:space="preserve">Call:</w:t>
      </w:r>
      <w:r>
        <w:t xml:space="preserve"> </w:t>
      </w:r>
      <w:r>
        <w:t xml:space="preserve">July 30, 2026, 11:00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Regency Centers heads into its second-quarter report on the back of a strong start to 2026 and a stock that has been grinding to fresh highs. Shares have risen from the high-</w:t>
      </w:r>
      <m:oMath>
        <m:r>
          <m:t>60</m:t>
        </m:r>
        <m:r>
          <m:t>s</m:t>
        </m:r>
        <m:r>
          <m:t>i</m:t>
        </m:r>
        <m:r>
          <m:t>n</m:t>
        </m:r>
        <m:r>
          <m:t>J</m:t>
        </m:r>
        <m:r>
          <m:t>a</m:t>
        </m:r>
        <m:r>
          <m:t>n</m:t>
        </m:r>
        <m:r>
          <m:t>u</m:t>
        </m:r>
        <m:r>
          <m:t>a</m:t>
        </m:r>
        <m:r>
          <m:t>r</m:t>
        </m:r>
        <m:r>
          <m:t>y</m:t>
        </m:r>
        <m:r>
          <m:t>t</m:t>
        </m:r>
        <m:r>
          <m:t>o</m:t>
        </m:r>
        <m:r>
          <m:t>t</m:t>
        </m:r>
        <m:r>
          <m:t>h</m:t>
        </m:r>
        <m:r>
          <m:t>e</m:t>
        </m:r>
        <m:r>
          <m:t>l</m:t>
        </m:r>
        <m:r>
          <m:t>o</m:t>
        </m:r>
        <m:r>
          <m:t>w</m:t>
        </m:r>
        <m:r>
          <m:rPr>
            <m:sty m:val="p"/>
          </m:rPr>
          <m:t>−</m:t>
        </m:r>
      </m:oMath>
      <w:r>
        <w:t xml:space="preserve">80s in late July, recently trading near their 52-week high around $82. Sell-side sentiment is constructive but not universally bullish — coverage skews toward "Moderate Buy," with a mix of Strong Buy/Buy ratings (Barclays $90 PT, Wells Fargo $88, BTIG $85, Evercore $81) alongside a cluster of Holds (Citi neutral at</w:t>
      </w:r>
      <w:r>
        <w:t xml:space="preserve"> </w:t>
      </w:r>
      <m:oMath>
        <m:r>
          <m:t>82</m:t>
        </m:r>
        <m:r>
          <m:rPr>
            <m:sty m:val="p"/>
          </m:rPr>
          <m:t>,</m:t>
        </m:r>
        <m:r>
          <m:t>M</m:t>
        </m:r>
        <m:r>
          <m:t>i</m:t>
        </m:r>
        <m:r>
          <m:t>z</m:t>
        </m:r>
        <m:r>
          <m:t>u</m:t>
        </m:r>
        <m:r>
          <m:t>h</m:t>
        </m:r>
        <m:r>
          <m:t>o</m:t>
        </m:r>
        <m:r>
          <m:t>d</m:t>
        </m:r>
        <m:r>
          <m:t>o</m:t>
        </m:r>
        <m:r>
          <m:t>w</m:t>
        </m:r>
        <m:r>
          <m:t>n</m:t>
        </m:r>
        <m:r>
          <m:t>g</m:t>
        </m:r>
        <m:r>
          <m:t>r</m:t>
        </m:r>
        <m:r>
          <m:t>a</m:t>
        </m:r>
        <m:r>
          <m:t>d</m:t>
        </m:r>
        <m:r>
          <m:t>e</m:t>
        </m:r>
        <m:r>
          <m:t>d</m:t>
        </m:r>
        <m:r>
          <m:t>t</m:t>
        </m:r>
        <m:r>
          <m:t>o</m:t>
        </m:r>
        <m:r>
          <m:t>H</m:t>
        </m:r>
        <m:r>
          <m:t>o</m:t>
        </m:r>
        <m:r>
          <m:t>l</m:t>
        </m:r>
        <m:r>
          <m:t>d</m:t>
        </m:r>
        <m:r>
          <m:t>i</m:t>
        </m:r>
        <m:r>
          <m:t>n</m:t>
        </m:r>
        <m:r>
          <m:t>J</m:t>
        </m:r>
        <m:r>
          <m:t>a</m:t>
        </m:r>
        <m:r>
          <m:t>n</m:t>
        </m:r>
        <m:r>
          <m:t>u</m:t>
        </m:r>
        <m:r>
          <m:t>a</m:t>
        </m:r>
        <m:r>
          <m:t>r</m:t>
        </m:r>
        <m:r>
          <m:t>y</m:t>
        </m:r>
        <m:r>
          <m:rPr>
            <m:sty m:val="p"/>
          </m:rPr>
          <m:t>,</m:t>
        </m:r>
        <m:r>
          <m:t>D</m:t>
        </m:r>
        <m:r>
          <m:t>e</m:t>
        </m:r>
        <m:r>
          <m:t>u</m:t>
        </m:r>
        <m:r>
          <m:t>t</m:t>
        </m:r>
        <m:r>
          <m:t>s</m:t>
        </m:r>
        <m:r>
          <m:t>c</m:t>
        </m:r>
        <m:r>
          <m:t>h</m:t>
        </m:r>
        <m:r>
          <m:t>e</m:t>
        </m:r>
        <m:r>
          <m:t>B</m:t>
        </m:r>
        <m:r>
          <m:t>a</m:t>
        </m:r>
        <m:r>
          <m:t>n</m:t>
        </m:r>
        <m:r>
          <m:t>k</m:t>
        </m:r>
        <m:r>
          <m:t>a</m:t>
        </m:r>
        <m:r>
          <m:t>t</m:t>
        </m:r>
        <m:r>
          <m:t>H</m:t>
        </m:r>
        <m:r>
          <m:t>o</m:t>
        </m:r>
        <m:r>
          <m:t>l</m:t>
        </m:r>
        <m:r>
          <m:t>d</m:t>
        </m:r>
        <m:r>
          <m:rPr>
            <m:sty m:val="p"/>
          </m:rPr>
          <m:t>)</m:t>
        </m:r>
        <m:r>
          <m:rPr>
            <m:sty m:val="p"/>
          </m:rPr>
          <m:t>.</m:t>
        </m:r>
        <m:r>
          <m:t>T</m:t>
        </m:r>
        <m:r>
          <m:t>h</m:t>
        </m:r>
        <m:r>
          <m:t>e</m:t>
        </m:r>
        <m:r>
          <m:t>a</m:t>
        </m:r>
        <m:r>
          <m:t>v</m:t>
        </m:r>
        <m:r>
          <m:t>e</m:t>
        </m:r>
        <m:r>
          <m:t>r</m:t>
        </m:r>
        <m:r>
          <m:t>a</m:t>
        </m:r>
        <m:r>
          <m:t>g</m:t>
        </m:r>
        <m:r>
          <m:t>e</m:t>
        </m:r>
        <m:r>
          <m:t>p</m:t>
        </m:r>
        <m:r>
          <m:t>r</m:t>
        </m:r>
        <m:r>
          <m:t>i</m:t>
        </m:r>
        <m:r>
          <m:t>c</m:t>
        </m:r>
        <m:r>
          <m:t>e</m:t>
        </m:r>
        <m:r>
          <m:t>t</m:t>
        </m:r>
        <m:r>
          <m:t>a</m:t>
        </m:r>
        <m:r>
          <m:t>r</m:t>
        </m:r>
        <m:r>
          <m:t>g</m:t>
        </m:r>
        <m:r>
          <m:t>e</m:t>
        </m:r>
        <m:r>
          <m:t>t</m:t>
        </m:r>
        <m:r>
          <m:t>s</m:t>
        </m:r>
        <m:r>
          <m:t>i</m:t>
        </m:r>
        <m:r>
          <m:t>t</m:t>
        </m:r>
        <m:r>
          <m:t>s</m:t>
        </m:r>
        <m:r>
          <m:t>i</m:t>
        </m:r>
        <m:r>
          <m:t>n</m:t>
        </m:r>
        <m:r>
          <m:t>t</m:t>
        </m:r>
        <m:r>
          <m:t>h</m:t>
        </m:r>
        <m:r>
          <m:t>e</m:t>
        </m:r>
        <m:r>
          <m:t>m</m:t>
        </m:r>
        <m:r>
          <m:t>i</m:t>
        </m:r>
        <m:r>
          <m:t>d</m:t>
        </m:r>
        <m:r>
          <m:rPr>
            <m:sty m:val="p"/>
          </m:rPr>
          <m:t>−</m:t>
        </m:r>
      </m:oMath>
      <w:r>
        <w:t xml:space="preserve">80s, implying modest upside from current levels — consistent with a name whose premium valuation is broadly viewed as warranted but already largely priced in.</w:t>
      </w:r>
    </w:p>
    <w:p>
      <w:pPr>
        <w:pStyle w:val="BodyText"/>
      </w:pPr>
      <w:r>
        <w:rPr>
          <w:b/>
          <w:bCs/>
        </w:rPr>
        <w:t xml:space="preserve">Consensus expectations for Q2 2026:</w:t>
      </w:r>
    </w:p>
    <w:p>
      <w:pPr>
        <w:pStyle w:val="Compact"/>
        <w:numPr>
          <w:ilvl w:val="0"/>
          <w:numId w:val="1001"/>
        </w:numPr>
      </w:pPr>
      <w:r>
        <w:rPr>
          <w:b/>
          <w:bCs/>
        </w:rPr>
        <w:t xml:space="preserve">Nareit FFO per share:</w:t>
      </w:r>
      <w:r>
        <w:t xml:space="preserve"> </w:t>
      </w:r>
      <w:r>
        <w:t xml:space="preserve">~$1.20, up ~3.5% year-over-year from $1.16</w:t>
      </w:r>
    </w:p>
    <w:p>
      <w:pPr>
        <w:pStyle w:val="Compact"/>
        <w:numPr>
          <w:ilvl w:val="0"/>
          <w:numId w:val="1001"/>
        </w:numPr>
      </w:pPr>
      <w:r>
        <w:rPr>
          <w:b/>
          <w:bCs/>
        </w:rPr>
        <w:t xml:space="preserve">Revenue:</w:t>
      </w:r>
      <w:r>
        <w:t xml:space="preserve"> </w:t>
      </w:r>
      <w:r>
        <w:t xml:space="preserve">~$405–409 million, up roughly 6% year-over-year</w:t>
      </w:r>
    </w:p>
    <w:p>
      <w:pPr>
        <w:pStyle w:val="Compact"/>
        <w:numPr>
          <w:ilvl w:val="0"/>
          <w:numId w:val="1001"/>
        </w:numPr>
      </w:pPr>
      <w:r>
        <w:t xml:space="preserve">Full-year 2026 FFO consensus: ~</w:t>
      </w:r>
      <m:oMath>
        <m:r>
          <m:t>4.85</m:t>
        </m:r>
        <m:r>
          <m:rPr>
            <m:sty m:val="p"/>
          </m:rPr>
          <m:t>/</m:t>
        </m:r>
        <m:r>
          <m:t>s</m:t>
        </m:r>
        <m:r>
          <m:t>h</m:t>
        </m:r>
        <m:r>
          <m:t>a</m:t>
        </m:r>
        <m:r>
          <m:t>r</m:t>
        </m:r>
        <m:r>
          <m:t>e</m:t>
        </m:r>
        <m:r>
          <m:rPr>
            <m:sty m:val="p"/>
          </m:rPr>
          <m:t>(</m:t>
        </m:r>
        <m:r>
          <m:rPr>
            <m:sty m:val="p"/>
          </m:rPr>
          <m:t>+</m:t>
        </m:r>
        <m:r>
          <m:t>4.5</m:t>
        </m:r>
      </m:oMath>
      <w:r>
        <w:t xml:space="preserve">5.09 in 2027</w:t>
      </w:r>
    </w:p>
    <w:p>
      <w:pPr>
        <w:pStyle w:val="FirstParagraph"/>
      </w:pPr>
      <w:r>
        <w:t xml:space="preserve">Track record context: REG has beaten or matched Zacks consensus FFO estimates in three of the last four quarters, with the one miss coming in Q1 2026, when reported FFO of $1.20 came in a penny below the $1.21 expected.</w:t>
      </w:r>
    </w:p>
    <w:bookmarkEnd w:id="9"/>
    <w:bookmarkStart w:id="10" w:name="what-happened-last-quarter-q1-2026-recap"/>
    <w:p>
      <w:pPr>
        <w:pStyle w:val="Heading2"/>
      </w:pPr>
      <w:r>
        <w:t xml:space="preserve">What Happened Last Quarter (Q1 2026 Recap)</w:t>
      </w:r>
    </w:p>
    <w:p>
      <w:pPr>
        <w:pStyle w:val="FirstParagraph"/>
      </w:pPr>
      <w:r>
        <w:t xml:space="preserve">Regency's first quarter was strong on an absolute basis even though it slightly missed on FFO. Key results:</w:t>
      </w:r>
    </w:p>
    <w:p>
      <w:pPr>
        <w:pStyle w:val="BodyText"/>
      </w:pPr>
      <w:r>
        <w:t xml:space="preserve">Reported Nareit FFO of $1.20 per diluted share and Core Operating Earnings of $1.16 per diluted share, increased Same Property Net Operating Income ("NOI") year-over-year by 4.4%, with Same Property percent leased ending the quarter at 96.6%, flat year-over-year, and Same Property percent commenced ended the quarter at 94.3%, up 90 basis points year-over-year. Leasing spreads were robust: the company executed approximately 1.5 million square feet of comparable new and renewal leases during the quarter at blended rent spreads of 12.1% on a cash basis and 24.3% on a straight-lined basis. The balance sheet remains a source of strength, with pro-rata net debt and preferred stock to TTM operating EBITDAre at March 31, 2026 of 5.2x and reaffirmed full-year guidance.</w:t>
      </w:r>
    </w:p>
    <w:p>
      <w:pPr>
        <w:pStyle w:val="BodyText"/>
      </w:pPr>
      <w:r>
        <w:t xml:space="preserve">Importantly, management explicitly pre-announced a soft Q2 comp. On the Q1 call, CFO Mike Mas noted: "Recall last quarter, we discussed that Q1 would be above and that Q2 would fall below our full year guidance range... next quarter driven by a tough comp relative to last year's favorable expense reconciliation performance." This is the single most important framing point for tomorrow's print —</w:t>
      </w:r>
      <w:r>
        <w:t xml:space="preserve"> </w:t>
      </w:r>
      <w:r>
        <w:rPr>
          <w:b/>
          <w:bCs/>
        </w:rPr>
        <w:t xml:space="preserve">investors should expect reported Same Property NOI growth in Q2 to look softer than the 3.25%–3.75% full-year guide, and this should not be read as a fundamental deceleration.</w:t>
      </w:r>
    </w:p>
    <w:bookmarkEnd w:id="10"/>
    <w:bookmarkStart w:id="11" w:name="full-year-2026-guidance-reaffirmed-at-q1"/>
    <w:p>
      <w:pPr>
        <w:pStyle w:val="Heading2"/>
      </w:pPr>
      <w:r>
        <w:t xml:space="preserve">Full-Year 2026 Guidance (Reaffirmed at Q1)</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Current 2026 Guidance</w:t>
            </w:r>
          </w:p>
        </w:tc>
      </w:tr>
      <w:tr>
        <w:tc>
          <w:tcPr/>
          <w:p>
            <w:pPr>
              <w:pStyle w:val="Compact"/>
            </w:pPr>
            <w:r>
              <w:t xml:space="preserve">Nareit FFO per diluted share</w:t>
            </w:r>
          </w:p>
        </w:tc>
        <w:tc>
          <w:tcPr/>
          <w:p>
            <w:pPr>
              <w:pStyle w:val="Compact"/>
            </w:pPr>
            <w:r>
              <w:t xml:space="preserve">$4.83 – $4.87</w:t>
            </w:r>
          </w:p>
        </w:tc>
      </w:tr>
      <w:tr>
        <w:tc>
          <w:tcPr/>
          <w:p>
            <w:pPr>
              <w:pStyle w:val="Compact"/>
            </w:pPr>
            <w:r>
              <w:t xml:space="preserve">Core Operating Earnings per diluted share</w:t>
            </w:r>
          </w:p>
        </w:tc>
        <w:tc>
          <w:tcPr/>
          <w:p>
            <w:pPr>
              <w:pStyle w:val="Compact"/>
            </w:pPr>
            <w:r>
              <w:t xml:space="preserve">$4.59 – $4.63</w:t>
            </w:r>
          </w:p>
        </w:tc>
      </w:tr>
      <w:tr>
        <w:tc>
          <w:tcPr/>
          <w:p>
            <w:pPr>
              <w:pStyle w:val="Compact"/>
            </w:pPr>
            <w:r>
              <w:t xml:space="preserve">Same Property NOI growth</w:t>
            </w:r>
          </w:p>
        </w:tc>
        <w:tc>
          <w:tcPr/>
          <w:p>
            <w:pPr>
              <w:pStyle w:val="Compact"/>
            </w:pPr>
            <w:r>
              <w:t xml:space="preserve">+3.25% to +3.75%</w:t>
            </w:r>
          </w:p>
        </w:tc>
      </w:tr>
      <w:tr>
        <w:tc>
          <w:tcPr/>
          <w:p>
            <w:pPr>
              <w:pStyle w:val="Compact"/>
            </w:pPr>
            <w:r>
              <w:t xml:space="preserve">Total NOI growth</w:t>
            </w:r>
          </w:p>
        </w:tc>
        <w:tc>
          <w:tcPr/>
          <w:p>
            <w:pPr>
              <w:pStyle w:val="Compact"/>
            </w:pPr>
            <w:r>
              <w:t xml:space="preserve">North of 6%</w:t>
            </w:r>
          </w:p>
        </w:tc>
      </w:tr>
      <w:tr>
        <w:tc>
          <w:tcPr/>
          <w:p>
            <w:pPr>
              <w:pStyle w:val="Compact"/>
            </w:pPr>
            <w:r>
              <w:t xml:space="preserve">Development &amp; redevelopment spend</w:t>
            </w:r>
          </w:p>
        </w:tc>
        <w:tc>
          <w:tcPr/>
          <w:p>
            <w:pPr>
              <w:pStyle w:val="Compact"/>
            </w:pPr>
            <w:r>
              <w:t xml:space="preserve">~</w:t>
            </w:r>
            <m:oMath>
              <m:r>
                <m:t>350</m:t>
              </m:r>
              <m:r>
                <m:t>M</m:t>
              </m:r>
              <m:r>
                <m:rPr>
                  <m:sty m:val="p"/>
                </m:rPr>
                <m:t>(</m:t>
              </m:r>
              <m:r>
                <m:t>r</m:t>
              </m:r>
              <m:r>
                <m:t>a</m:t>
              </m:r>
              <m:r>
                <m:t>i</m:t>
              </m:r>
              <m:r>
                <m:t>s</m:t>
              </m:r>
              <m:r>
                <m:t>e</m:t>
              </m:r>
              <m:r>
                <m:t>d</m:t>
              </m:r>
              <m:r>
                <m:t>f</m:t>
              </m:r>
              <m:r>
                <m:t>r</m:t>
              </m:r>
              <m:r>
                <m:t>o</m:t>
              </m:r>
              <m:r>
                <m:t>m</m:t>
              </m:r>
              <m:r>
                <m:t> </m:t>
              </m:r>
            </m:oMath>
            <w:r>
              <w:t xml:space="preserve">325M)</w:t>
            </w:r>
          </w:p>
        </w:tc>
      </w:tr>
      <w:tr>
        <w:tc>
          <w:tcPr/>
          <w:p>
            <w:pPr>
              <w:pStyle w:val="Compact"/>
            </w:pPr>
            <w:r>
              <w:t xml:space="preserve">Net debt/EBITDAre</w:t>
            </w:r>
          </w:p>
        </w:tc>
        <w:tc>
          <w:tcPr/>
          <w:p>
            <w:pPr>
              <w:pStyle w:val="Compact"/>
            </w:pPr>
            <w:r>
              <w:t xml:space="preserve">~5.2x (low end of 5.0x–5.5x target)</w:t>
            </w:r>
          </w:p>
        </w:tc>
      </w:tr>
    </w:tbl>
    <w:p>
      <w:pPr>
        <w:pStyle w:val="BodyText"/>
      </w:pPr>
      <w:r>
        <w:t xml:space="preserve">Management raised development spend guidance slightly at Q1 due to increased visibility on new project starts, and added known acquisitions (~$25M) to the outlook — both incremental positives for external growth, not surprises investors should be caught off guard by tomorrow.</w:t>
      </w:r>
    </w:p>
    <w:bookmarkEnd w:id="11"/>
    <w:bookmarkStart w:id="12" w:name="key-things-to-watch-in-the-q2-print"/>
    <w:p>
      <w:pPr>
        <w:pStyle w:val="Heading2"/>
      </w:pPr>
      <w:r>
        <w:t xml:space="preserve">Key Things to Watch in the Q2 Print</w:t>
      </w:r>
    </w:p>
    <w:p>
      <w:pPr>
        <w:pStyle w:val="FirstParagraph"/>
      </w:pPr>
      <w:r>
        <w:rPr>
          <w:b/>
          <w:bCs/>
        </w:rPr>
        <w:t xml:space="preserve">1. Same Property NOI growth vs. the "tough comp" narrative.</w:t>
      </w:r>
      <w:r>
        <w:t xml:space="preserve"> </w:t>
      </w:r>
      <w:r>
        <w:t xml:space="preserve">The market already knows Q2 will look weaker sequentially/relative to full-year guidance due to last year's favorable expense recovery comp. The key question is whether base rent growth — the more durable driver — remains healthy (Q1 base rent growth was 3.5%–3.6%).</w:t>
      </w:r>
    </w:p>
    <w:p>
      <w:pPr>
        <w:pStyle w:val="BodyText"/>
      </w:pPr>
      <w:r>
        <w:rPr>
          <w:b/>
          <w:bCs/>
        </w:rPr>
        <w:t xml:space="preserve">2. Occupancy trajectory — can commenced occupancy close the gap to leased?</w:t>
      </w:r>
      <w:r>
        <w:t xml:space="preserve"> </w:t>
      </w:r>
      <w:r>
        <w:t xml:space="preserve">At Q1, Same Property anchor percent leased was 98.2% and Same Property shop percent leased was 94.1%, with leased occupancy near a record high but commenced occupancy still lagging. Management guided that closing this leased-to-commenced spread through the SNO (signed-not-open) pipeline — worth roughly $42 million of incremental base rent — is a primary 2026 NOI tailwind. Progress here in Q2 will be a good marker of whether that thesis is tracking.</w:t>
      </w:r>
    </w:p>
    <w:p>
      <w:pPr>
        <w:pStyle w:val="BodyText"/>
      </w:pPr>
      <w:r>
        <w:rPr>
          <w:b/>
          <w:bCs/>
        </w:rPr>
        <w:t xml:space="preserve">3. Tenant health, bad debt, and the "cash basis" tenant.</w:t>
      </w:r>
      <w:r>
        <w:t xml:space="preserve"> </w:t>
      </w:r>
      <w:r>
        <w:t xml:space="preserve">On the Q1 call, management disclosed that one lease among more than 9,000 was moved to a cash basis, which resulted in a reserve on straight-line rent booked in the quarter, though core operating earnings were unaffected. Management also flagged it remains "in the middle of some ongoing bankruptcy filings," with early "breadcrumbs" suggesting potentially favorable resolutions. Watch for updates on bad debt/uncollectible lease income (guided to run at or slightly below historical averages) and whether any additional tenants require similar accounting treatment.</w:t>
      </w:r>
    </w:p>
    <w:p>
      <w:pPr>
        <w:pStyle w:val="BodyText"/>
      </w:pPr>
      <w:r>
        <w:rPr>
          <w:b/>
          <w:bCs/>
        </w:rPr>
        <w:t xml:space="preserve">4. Consumer/macro commentary — gas prices and trade-down.</w:t>
      </w:r>
      <w:r>
        <w:t xml:space="preserve"> </w:t>
      </w:r>
      <w:r>
        <w:t xml:space="preserve">Rising fuel prices were a live topic on the Q1 call. Management's response was constructive: foot traffic accelerated into April (+3%) versus Q1 (+2.3%), and leadership argued Regency's necessity/value/convenience-oriented, grocery-anchored centers in strong suburban trade areas are positioned to benefit from trade-down behavior even as consumers face cost pressure. Expect similar commentary on Q2 traffic, tenant sales, and collections trends given persistent high energy prices through the print period.</w:t>
      </w:r>
    </w:p>
    <w:p>
      <w:pPr>
        <w:pStyle w:val="BodyText"/>
      </w:pPr>
      <w:r>
        <w:rPr>
          <w:b/>
          <w:bCs/>
        </w:rPr>
        <w:t xml:space="preserve">5. Development pipeline momentum.</w:t>
      </w:r>
      <w:r>
        <w:t xml:space="preserve"> </w:t>
      </w:r>
      <w:r>
        <w:t xml:space="preserve">As of Q1, in-process development/redevelopment totaled $635 million at a blended estimated yield of 9%, with visibility to over $1 billion of project starts over the next three years. This remains Regency's key differentiator versus peers — a national ground-up development platform in a supply-constrained environment. Watch for new project starts, leasing progress on in-process projects, and any yield commentary (management has kept development yield expectations at "7%-plus").</w:t>
      </w:r>
    </w:p>
    <w:p>
      <w:pPr>
        <w:pStyle w:val="BodyText"/>
      </w:pPr>
      <w:r>
        <w:rPr>
          <w:b/>
          <w:bCs/>
        </w:rPr>
        <w:t xml:space="preserve">6. Capital allocation / balance sheet.</w:t>
      </w:r>
      <w:r>
        <w:t xml:space="preserve"> </w:t>
      </w:r>
      <w:r>
        <w:t xml:space="preserve">Regency issued $450 million of 7-year notes at a 4.5% coupon in February — one of the tightest credit spreads in company history — and refreshed its</w:t>
      </w:r>
      <w:r>
        <w:t xml:space="preserve"> </w:t>
      </w:r>
      <m:oMath>
        <m:r>
          <m:t>500</m:t>
        </m:r>
        <m:r>
          <m:t>m</m:t>
        </m:r>
        <m:r>
          <m:t>i</m:t>
        </m:r>
        <m:r>
          <m:t>l</m:t>
        </m:r>
        <m:r>
          <m:t>l</m:t>
        </m:r>
        <m:r>
          <m:t>i</m:t>
        </m:r>
        <m:r>
          <m:t>o</m:t>
        </m:r>
        <m:r>
          <m:t>n</m:t>
        </m:r>
        <m:r>
          <m:t>s</m:t>
        </m:r>
        <m:r>
          <m:t>h</m:t>
        </m:r>
        <m:r>
          <m:t>a</m:t>
        </m:r>
        <m:r>
          <m:t>r</m:t>
        </m:r>
        <m:r>
          <m:t>e</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t>i</m:t>
        </m:r>
        <m:r>
          <m:t>n</m:t>
        </m:r>
        <m:r>
          <m:t>F</m:t>
        </m:r>
        <m:r>
          <m:t>e</m:t>
        </m:r>
        <m:r>
          <m:t>b</m:t>
        </m:r>
        <m:r>
          <m:t>r</m:t>
        </m:r>
        <m:r>
          <m:t>u</m:t>
        </m:r>
        <m:r>
          <m:t>a</m:t>
        </m:r>
        <m:r>
          <m:t>r</m:t>
        </m:r>
        <m:r>
          <m:t>y</m:t>
        </m:r>
        <m:r>
          <m:t>2026</m:t>
        </m:r>
        <m:r>
          <m:rPr>
            <m:sty m:val="p"/>
          </m:rPr>
          <m:t>(</m:t>
        </m:r>
        <m:r>
          <m:t>t</m:t>
        </m:r>
        <m:r>
          <m:t>h</m:t>
        </m:r>
        <m:r>
          <m:t>r</m:t>
        </m:r>
        <m:r>
          <m:t>o</m:t>
        </m:r>
        <m:r>
          <m:t>u</m:t>
        </m:r>
        <m:r>
          <m:t>g</m:t>
        </m:r>
        <m:r>
          <m:t>h</m:t>
        </m:r>
        <m:r>
          <m:t>F</m:t>
        </m:r>
        <m:r>
          <m:t>e</m:t>
        </m:r>
        <m:r>
          <m:t>b</m:t>
        </m:r>
        <m:r>
          <m:t>2029</m:t>
        </m:r>
        <m:r>
          <m:rPr>
            <m:sty m:val="p"/>
          </m:rPr>
          <m:t>)</m:t>
        </m:r>
        <m:r>
          <m:rPr>
            <m:sty m:val="p"/>
          </m:rPr>
          <m:t>.</m:t>
        </m:r>
        <m:r>
          <m:t>W</m:t>
        </m:r>
        <m:r>
          <m:t>i</m:t>
        </m:r>
        <m:r>
          <m:t>t</m:t>
        </m:r>
        <m:r>
          <m:t>h</m:t>
        </m:r>
        <m:r>
          <m:t> </m:t>
        </m:r>
      </m:oMath>
      <w:r>
        <w:t xml:space="preserve">1.5 billion of revolver capacity and leverage near the low end of its 5.0x–5.5x target, management has signaled no near-term need to issue equity, though it remains opportunistic. Any update on buyback activity or additional debt/equity issuance will be worth noting.</w:t>
      </w:r>
    </w:p>
    <w:bookmarkEnd w:id="12"/>
    <w:bookmarkStart w:id="13" w:name="X0a333b5d3c0ec5c402e3bb6b6423a670bd047d5"/>
    <w:p>
      <w:pPr>
        <w:pStyle w:val="Heading2"/>
      </w:pPr>
      <w:r>
        <w:t xml:space="preserve">Peer Read-Through: Brixmor's Strong Q2 Sets a Positive Tone</w:t>
      </w:r>
    </w:p>
    <w:p>
      <w:pPr>
        <w:pStyle w:val="FirstParagraph"/>
      </w:pPr>
      <w:r>
        <w:t xml:space="preserve">Brixmor (BRX), a close grocery-anchored shopping center peer, reported Q2 results on July 27 and</w:t>
      </w:r>
      <w:r>
        <w:t xml:space="preserve"> </w:t>
      </w:r>
      <w:r>
        <w:rPr>
          <w:b/>
          <w:bCs/>
        </w:rPr>
        <w:t xml:space="preserve">raised guidance</w:t>
      </w:r>
      <w:r>
        <w:t xml:space="preserve">, reporting an increase in same property NOI of 5.8% for the second quarter, including a contribution from base rent of 440 basis points, plus record small shop leased occupancy of 92.6% and record signed-but-not-commenced rent. Brixmor updated its 2026 Nareit FFO guidance to</w:t>
      </w:r>
      <w:r>
        <w:t xml:space="preserve"> </w:t>
      </w:r>
      <m:oMath>
        <m:r>
          <m:t>2.35</m:t>
        </m:r>
        <m:r>
          <m:rPr>
            <m:sty m:val="p"/>
          </m:rPr>
          <m:t>–</m:t>
        </m:r>
      </m:oMath>
      <w:r>
        <w:t xml:space="preserve">2.37 per diluted share (from</w:t>
      </w:r>
      <w:r>
        <w:t xml:space="preserve"> </w:t>
      </w:r>
      <m:oMath>
        <m:r>
          <m:t>2.34</m:t>
        </m:r>
        <m:r>
          <m:rPr>
            <m:sty m:val="p"/>
          </m:rPr>
          <m:t>–</m:t>
        </m:r>
      </m:oMath>
      <w:r>
        <w:t xml:space="preserve">2.37) and same property NOI growth guidance to 5.00%–5.75% (from 4.75%–5.50%). This is a broadly encouraging read-through for the grocery-anchored shopping center subsector heading into REG's print — tenant demand, small-shop leasing, and pricing power appear to be holding up well across the space, even amid consumer cost pressures.</w:t>
      </w:r>
    </w:p>
    <w:bookmarkEnd w:id="13"/>
    <w:bookmarkStart w:id="14" w:name="bottom-line-for-investors"/>
    <w:p>
      <w:pPr>
        <w:pStyle w:val="Heading2"/>
      </w:pPr>
      <w:r>
        <w:t xml:space="preserve">Bottom Line for Investors</w:t>
      </w:r>
    </w:p>
    <w:p>
      <w:pPr>
        <w:pStyle w:val="FirstParagraph"/>
      </w:pPr>
      <w:r>
        <w:t xml:space="preserve">Regency enters Q2 earnings with reaffirmed guidance, a fortress balance sheet, near-record occupancy, strong re-leasing spreads, and a best-in-class development pipeline — but also a stock trading near 52-week highs and a valuation some (e.g., GuruFocus's GF Value screen) flag as modestly rich. The setup argues for a "high bar, high quality" print: the operational algorithm (occupancy gains, leasing spreads, development NOI contribution, balance sheet discipline) is well understood by the Street, guidance has already been reaffirmed, and management has pre-telegraphed a softer headline Same Property NOI comp for the quarter. The swing factors most likely to move the stock are (1) any change to full-year guidance, (2) commentary on consumer resilience amid elevated gas prices, and (3) updates on bankruptcy-related tenant exposure and the cash-basis tenant flagged last quarter.</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2026-07-29T02:13:10Z</dcterms:created>
  <dcterms:modified xsi:type="dcterms:W3CDTF">2026-07-29T02:13:10Z</dcterms:modified>
</cp:coreProperties>
</file>

<file path=docProps/custom.xml><?xml version="1.0" encoding="utf-8"?>
<Properties xmlns="http://schemas.openxmlformats.org/officeDocument/2006/custom-properties" xmlns:vt="http://schemas.openxmlformats.org/officeDocument/2006/docPropsVTypes"/>
</file>