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eg-earnings-predictions--2026-07-29"/>
    <w:p>
      <w:pPr>
        <w:pStyle w:val="Heading1"/>
      </w:pPr>
      <w:r>
        <w:t xml:space="preserve">REG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Nareit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~$1.20 vs. cons $1.19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same-property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~2.3% vs. cons 2.2%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blended cash leasing spreads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~11.8% vs. cons 11.0%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Nareit FFO/share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~$4.85 vs. cons $4.86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operating earnings/share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~$4.61 vs. cons $4.62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Same-property NOI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~3.50% vs. cons 3.55%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Development and redevelopment spending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~$350M vs. cons $350M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-0.4% (FADE)</w:t>
            </w:r>
          </w:p>
        </w:tc>
        <w:tc>
          <w:tcPr/>
          <w:p>
            <w:pPr>
              <w:pStyle w:val="Compact"/>
            </w:pPr>
            <w:r>
              <w:t xml:space="preserve">Day-1 residual of ~-1.1% fades toward a ~-0.4% five-day residual: strong leasing and a modest NOI beat support fundamentals, but unchanged FY2026 FFO guidance of ~$4.85 versus $4.86 consensus leaves little positive out-period revision math after the stock's pre-earnings appreciation.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2026-07-29T02:11:28Z</dcterms:created>
  <dcterms:modified xsi:type="dcterms:W3CDTF">2026-07-29T02:11:28Z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