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reg-q2-2026-earnings-preview"/>
    <w:p>
      <w:pPr>
        <w:pStyle w:val="Heading1"/>
      </w:pPr>
      <w:r>
        <w:t xml:space="preserve">REG Q2 2026 Earnings Preview</w:t>
      </w:r>
    </w:p>
    <w:p>
      <w:pPr>
        <w:pStyle w:val="BlockText"/>
      </w:pPr>
      <w:r>
        <w:rPr>
          <w:b/>
          <w:bCs/>
        </w:rPr>
        <w:t xml:space="preserve">Timing clarification:</w:t>
      </w:r>
      <w:r>
        <w:t xml:space="preserve"> </w:t>
      </w:r>
      <w:r>
        <w:t xml:space="preserve">Regency Centers will release Q2 results</w:t>
      </w:r>
      <w:r>
        <w:t xml:space="preserve"> </w:t>
      </w:r>
      <w:r>
        <w:rPr>
          <w:b/>
          <w:bCs/>
        </w:rPr>
        <w:t xml:space="preserve">after the market closes today, Wednesday, July 29, 2026</w:t>
      </w:r>
      <w:r>
        <w:t xml:space="preserve">. The earnings call is</w:t>
      </w:r>
      <w:r>
        <w:t xml:space="preserve"> </w:t>
      </w:r>
      <w:r>
        <w:rPr>
          <w:b/>
          <w:bCs/>
        </w:rPr>
        <w:t xml:space="preserve">tomorrow, Thursday, July 30, at 11:00 a.m. ET</w:t>
      </w:r>
      <w:r>
        <w:t xml:space="preserve">. (</w:t>
      </w:r>
      <w:hyperlink r:id="rId9">
        <w:r>
          <w:rPr>
            <w:rStyle w:val="Hyperlink"/>
          </w:rPr>
          <w:t xml:space="preserve">investors.regencycenters.com</w:t>
        </w:r>
      </w:hyperlink>
      <w:r>
        <w:t xml:space="preserve">)</w:t>
      </w:r>
    </w:p>
    <w:bookmarkStart w:id="10" w:name="investment-view-going-into-the-report"/>
    <w:p>
      <w:pPr>
        <w:pStyle w:val="Heading2"/>
      </w:pPr>
      <w:r>
        <w:t xml:space="preserve">Investment view going into the report</w:t>
      </w:r>
    </w:p>
    <w:p>
      <w:pPr>
        <w:pStyle w:val="FirstParagraph"/>
      </w:pPr>
      <w:r>
        <w:t xml:space="preserve">Regency enters Q2 with some of the strongest fundamentals in the shopping-center REIT sector: nearly full occupancy, double-digit leasing spreads, a sizable signed-but-not-open pipeline, limited competing retail supply, and a well-funded development program.</w:t>
      </w:r>
    </w:p>
    <w:p>
      <w:pPr>
        <w:pStyle w:val="BodyText"/>
      </w:pPr>
      <w:r>
        <w:t xml:space="preserve">The complication is that</w:t>
      </w:r>
      <w:r>
        <w:t xml:space="preserve"> </w:t>
      </w:r>
      <w:r>
        <w:rPr>
          <w:b/>
          <w:bCs/>
        </w:rPr>
        <w:t xml:space="preserve">Q2 same-property NOI growth is expected to look materially slower than Q1</w:t>
      </w:r>
      <w:r>
        <w:t xml:space="preserve">. Management explicitly warned that Q2 would fall below its full-year growth range because of a difficult comparison against unusually favorable expense reconciliations in Q2 2025—not because leasing or tenant demand had weakened.</w:t>
      </w:r>
    </w:p>
    <w:p>
      <w:pPr>
        <w:pStyle w:val="BodyText"/>
      </w:pPr>
      <w:r>
        <w:t xml:space="preserve">That distinction will probably determine the market reaction. A superficially soft NOI percentage should be forgivable if base rents, commenced occupancy, collections and leasing remain strong. Conversely, after a roughly 17% year-to-date stock-price gain through July 28, merely reiterating the outlook may not be enough to drive meaningful upside.</w:t>
      </w:r>
    </w:p>
    <w:p>
      <w:r>
        <w:pict>
          <v:rect style="width:0;height:1.5pt" o:hralign="center" o:hrstd="t" o:hr="t"/>
        </w:pict>
      </w:r>
    </w:p>
    <w:bookmarkEnd w:id="10"/>
    <w:bookmarkStart w:id="13" w:name="the-essential-scorecard"/>
    <w:p>
      <w:pPr>
        <w:pStyle w:val="Heading2"/>
      </w:pPr>
      <w:r>
        <w:t xml:space="preserve">The essential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2025 comparison</w:t>
            </w:r>
          </w:p>
        </w:tc>
        <w:tc>
          <w:tcPr/>
          <w:p>
            <w:pPr>
              <w:pStyle w:val="Compact"/>
            </w:pPr>
            <w:r>
              <w:t xml:space="preserve">What matters in Q2</w:t>
            </w:r>
          </w:p>
        </w:tc>
      </w:tr>
      <w:tr>
        <w:tc>
          <w:tcPr/>
          <w:p>
            <w:pPr>
              <w:pStyle w:val="Compact"/>
            </w:pPr>
            <w:r>
              <w:t xml:space="preserve">Nareit FFO/share</w:t>
            </w:r>
          </w:p>
        </w:tc>
        <w:tc>
          <w:tcPr/>
          <w:p>
            <w:pPr>
              <w:pStyle w:val="Compact"/>
              <w:jc w:val="right"/>
            </w:pPr>
            <w:r>
              <w:t xml:space="preserve">$1.20</w:t>
            </w:r>
          </w:p>
        </w:tc>
        <w:tc>
          <w:tcPr/>
          <w:p>
            <w:pPr>
              <w:pStyle w:val="Compact"/>
              <w:jc w:val="right"/>
            </w:pPr>
            <w:r>
              <w:t xml:space="preserve">$1.16</w:t>
            </w:r>
          </w:p>
        </w:tc>
        <w:tc>
          <w:tcPr/>
          <w:p>
            <w:pPr>
              <w:pStyle w:val="Compact"/>
            </w:pPr>
            <w:r>
              <w:t xml:space="preserve">Year-over-year growth and full-year guidance</w:t>
            </w:r>
          </w:p>
        </w:tc>
      </w:tr>
      <w:tr>
        <w:tc>
          <w:tcPr/>
          <w:p>
            <w:pPr>
              <w:pStyle w:val="Compact"/>
            </w:pPr>
            <w:r>
              <w:t xml:space="preserve">Core operating earnings/share</w:t>
            </w:r>
          </w:p>
        </w:tc>
        <w:tc>
          <w:tcPr/>
          <w:p>
            <w:pPr>
              <w:pStyle w:val="Compact"/>
              <w:jc w:val="right"/>
            </w:pPr>
            <w:r>
              <w:t xml:space="preserve">$1.16</w:t>
            </w:r>
          </w:p>
        </w:tc>
        <w:tc>
          <w:tcPr/>
          <w:p>
            <w:pPr>
              <w:pStyle w:val="Compact"/>
              <w:jc w:val="right"/>
            </w:pPr>
            <w:r>
              <w:t xml:space="preserve">$1.10</w:t>
            </w:r>
          </w:p>
        </w:tc>
        <w:tc>
          <w:tcPr/>
          <w:p>
            <w:pPr>
              <w:pStyle w:val="Compact"/>
            </w:pPr>
            <w:r>
              <w:t xml:space="preserve">Cleaner indicator of recurring cash earnings</w:t>
            </w:r>
          </w:p>
        </w:tc>
      </w:tr>
      <w:tr>
        <w:tc>
          <w:tcPr/>
          <w:p>
            <w:pPr>
              <w:pStyle w:val="Compact"/>
            </w:pPr>
            <w:r>
              <w:t xml:space="preserve">Same-property NOI growth</w:t>
            </w:r>
          </w:p>
        </w:tc>
        <w:tc>
          <w:tcPr/>
          <w:p>
            <w:pPr>
              <w:pStyle w:val="Compact"/>
              <w:jc w:val="right"/>
            </w:pPr>
            <w:r>
              <w:t xml:space="preserve">4.4%</w:t>
            </w:r>
          </w:p>
        </w:tc>
        <w:tc>
          <w:tcPr/>
          <w:p>
            <w:pPr>
              <w:pStyle w:val="Compact"/>
              <w:jc w:val="right"/>
            </w:pPr>
            <w:r>
              <w:t xml:space="preserve">7.4% ex-termination fees</w:t>
            </w:r>
          </w:p>
        </w:tc>
        <w:tc>
          <w:tcPr/>
          <w:p>
            <w:pPr>
              <w:pStyle w:val="Compact"/>
            </w:pPr>
            <w:r>
              <w:t xml:space="preserve">Expected to fall below the 3.25%–3.75% full-year range</w:t>
            </w:r>
          </w:p>
        </w:tc>
      </w:tr>
      <w:tr>
        <w:tc>
          <w:tcPr/>
          <w:p>
            <w:pPr>
              <w:pStyle w:val="Compact"/>
            </w:pPr>
            <w:r>
              <w:t xml:space="preserve">Same-property leased occupancy</w:t>
            </w:r>
          </w:p>
        </w:tc>
        <w:tc>
          <w:tcPr/>
          <w:p>
            <w:pPr>
              <w:pStyle w:val="Compact"/>
              <w:jc w:val="right"/>
            </w:pPr>
            <w:r>
              <w:t xml:space="preserve">96.6%</w:t>
            </w:r>
          </w:p>
        </w:tc>
        <w:tc>
          <w:tcPr/>
          <w:p>
            <w:pPr>
              <w:pStyle w:val="Compact"/>
              <w:jc w:val="right"/>
            </w:pPr>
            <w:r>
              <w:t xml:space="preserve">96.5%</w:t>
            </w:r>
          </w:p>
        </w:tc>
        <w:tc>
          <w:tcPr/>
          <w:p>
            <w:pPr>
              <w:pStyle w:val="Compact"/>
            </w:pPr>
            <w:r>
              <w:t xml:space="preserve">Stability near 97%; anchor upside</w:t>
            </w:r>
          </w:p>
        </w:tc>
      </w:tr>
      <w:tr>
        <w:tc>
          <w:tcPr/>
          <w:p>
            <w:pPr>
              <w:pStyle w:val="Compact"/>
            </w:pPr>
            <w:r>
              <w:t xml:space="preserve">Same-property commenced occupancy</w:t>
            </w:r>
          </w:p>
        </w:tc>
        <w:tc>
          <w:tcPr/>
          <w:p>
            <w:pPr>
              <w:pStyle w:val="Compact"/>
              <w:jc w:val="right"/>
            </w:pPr>
            <w:r>
              <w:t xml:space="preserve">94.3%</w:t>
            </w:r>
          </w:p>
        </w:tc>
        <w:tc>
          <w:tcPr/>
          <w:p>
            <w:pPr>
              <w:pStyle w:val="Compact"/>
              <w:jc w:val="right"/>
            </w:pPr>
            <w:r>
              <w:t xml:space="preserve">93.9%</w:t>
            </w:r>
          </w:p>
        </w:tc>
        <w:tc>
          <w:tcPr/>
          <w:p>
            <w:pPr>
              <w:pStyle w:val="Compact"/>
            </w:pPr>
            <w:r>
              <w:t xml:space="preserve">Continued closing of the leased/commenced gap</w:t>
            </w:r>
          </w:p>
        </w:tc>
      </w:tr>
      <w:tr>
        <w:tc>
          <w:tcPr/>
          <w:p>
            <w:pPr>
              <w:pStyle w:val="Compact"/>
            </w:pPr>
            <w:r>
              <w:t xml:space="preserve">Cash leasing spreads</w:t>
            </w:r>
          </w:p>
        </w:tc>
        <w:tc>
          <w:tcPr/>
          <w:p>
            <w:pPr>
              <w:pStyle w:val="Compact"/>
              <w:jc w:val="right"/>
            </w:pPr>
            <w:r>
              <w:t xml:space="preserve">12.1%</w:t>
            </w:r>
          </w:p>
        </w:tc>
        <w:tc>
          <w:tcPr/>
          <w:p>
            <w:pPr>
              <w:pStyle w:val="Compact"/>
              <w:jc w:val="right"/>
            </w:pPr>
            <w:r>
              <w:t xml:space="preserve">10.0%</w:t>
            </w:r>
          </w:p>
        </w:tc>
        <w:tc>
          <w:tcPr/>
          <w:p>
            <w:pPr>
              <w:pStyle w:val="Compact"/>
            </w:pPr>
            <w:r>
              <w:t xml:space="preserve">Continued double-digit pricing power</w:t>
            </w:r>
          </w:p>
        </w:tc>
      </w:tr>
      <w:tr>
        <w:tc>
          <w:tcPr/>
          <w:p>
            <w:pPr>
              <w:pStyle w:val="Compact"/>
            </w:pPr>
            <w:r>
              <w:t xml:space="preserve">In-process development/redevelopment</w:t>
            </w:r>
          </w:p>
        </w:tc>
        <w:tc>
          <w:tcPr/>
          <w:p>
            <w:pPr>
              <w:pStyle w:val="Compact"/>
              <w:jc w:val="right"/>
            </w:pPr>
            <w:r>
              <w:t xml:space="preserve">$635M</w:t>
            </w:r>
          </w:p>
        </w:tc>
        <w:tc>
          <w:tcPr/>
          <w:p>
            <w:pPr>
              <w:pStyle w:val="Compact"/>
              <w:jc w:val="right"/>
            </w:pPr>
            <w:r>
              <w:t xml:space="preserve">$518M</w:t>
            </w:r>
          </w:p>
        </w:tc>
        <w:tc>
          <w:tcPr/>
          <w:p>
            <w:pPr>
              <w:pStyle w:val="Compact"/>
            </w:pPr>
            <w:r>
              <w:t xml:space="preserve">Leasing, timing, costs and project starts</w:t>
            </w:r>
          </w:p>
        </w:tc>
      </w:tr>
      <w:tr>
        <w:tc>
          <w:tcPr/>
          <w:p>
            <w:pPr>
              <w:pStyle w:val="Compact"/>
            </w:pPr>
            <w:r>
              <w:t xml:space="preserve">Net debt/preferred to EBITDAre</w:t>
            </w:r>
          </w:p>
        </w:tc>
        <w:tc>
          <w:tcPr/>
          <w:p>
            <w:pPr>
              <w:pStyle w:val="Compact"/>
              <w:jc w:val="right"/>
            </w:pPr>
            <w:r>
              <w:t xml:space="preserve">5.2x</w:t>
            </w:r>
          </w:p>
        </w:tc>
        <w:tc>
          <w:tcPr/>
          <w:p>
            <w:pPr>
              <w:pStyle w:val="Compact"/>
              <w:jc w:val="right"/>
            </w:pPr>
            <w:r>
              <w:t xml:space="preserve">5.3x</w:t>
            </w:r>
          </w:p>
        </w:tc>
        <w:tc>
          <w:tcPr/>
          <w:p>
            <w:pPr>
              <w:pStyle w:val="Compact"/>
            </w:pPr>
            <w:r>
              <w:t xml:space="preserve">Continued funding flexibility</w:t>
            </w:r>
          </w:p>
        </w:tc>
      </w:tr>
    </w:tbl>
    <w:p>
      <w:pPr>
        <w:pStyle w:val="BodyText"/>
      </w:pPr>
      <w:r>
        <w:t xml:space="preserve">Regency’s Q1 results included 4.4% same-property NOI growth, 96.6% leased occupancy, 94.3% commenced occupancy and 12.1% blended cash rent spreads. Full-year guidance remained</w:t>
      </w:r>
      <w:r>
        <w:t xml:space="preserve"> </w:t>
      </w:r>
      <m:oMath>
        <m:r>
          <m:t>4.83</m:t>
        </m:r>
        <m:r>
          <m:rPr>
            <m:sty m:val="p"/>
          </m:rPr>
          <m:t>–</m:t>
        </m:r>
      </m:oMath>
      <w:r>
        <w:t xml:space="preserve">4.87 for Nareit FFO,</w:t>
      </w:r>
      <w:r>
        <w:t xml:space="preserve"> </w:t>
      </w:r>
      <m:oMath>
        <m:r>
          <m:t>4.59</m:t>
        </m:r>
        <m:r>
          <m:rPr>
            <m:sty m:val="p"/>
          </m:rPr>
          <m:t>–</m:t>
        </m:r>
      </m:oMath>
      <w:r>
        <w:t xml:space="preserve">4.63 for core operating earnings and 3.25%–3.75% for same-property NOI growth. (</w:t>
      </w:r>
      <w:hyperlink r:id="rId11">
        <w:r>
          <w:rPr>
            <w:rStyle w:val="Hyperlink"/>
          </w:rPr>
          <w:t xml:space="preserve">regencycenters.gcs-web.com</w:t>
        </w:r>
      </w:hyperlink>
      <w:r>
        <w:t xml:space="preserve">)</w:t>
      </w:r>
    </w:p>
    <w:p>
      <w:pPr>
        <w:pStyle w:val="BodyText"/>
      </w:pPr>
      <w:r>
        <w:t xml:space="preserve">The Q2 comparison is unusually demanding: in Q2 2025, same-property NOI excluding termination fees grew 7.4%, including 4.5% base-rent growth, while FFO was $1.16 per share. (</w:t>
      </w:r>
      <w:hyperlink r:id="rId12">
        <w:r>
          <w:rPr>
            <w:rStyle w:val="Hyperlink"/>
          </w:rPr>
          <w:t xml:space="preserve">sec.gov</w:t>
        </w:r>
      </w:hyperlink>
      <w:r>
        <w:t xml:space="preserve">)</w:t>
      </w:r>
    </w:p>
    <w:p>
      <w:r>
        <w:pict>
          <v:rect style="width:0;height:1.5pt" o:hralign="center" o:hrstd="t" o:hr="t"/>
        </w:pict>
      </w:r>
    </w:p>
    <w:bookmarkEnd w:id="13"/>
    <w:bookmarkStart w:id="14" w:name="X1f362638d404763c5470619764017a2751e7b38"/>
    <w:p>
      <w:pPr>
        <w:pStyle w:val="Heading2"/>
      </w:pPr>
      <w:r>
        <w:t xml:space="preserve">1. Do not overreact to the headline NOI slowdown</w:t>
      </w:r>
    </w:p>
    <w:p>
      <w:pPr>
        <w:pStyle w:val="FirstParagraph"/>
      </w:pPr>
      <w:r>
        <w:t xml:space="preserve">Management said on the Q1 call that:</w:t>
      </w:r>
    </w:p>
    <w:p>
      <w:pPr>
        <w:pStyle w:val="Compact"/>
        <w:numPr>
          <w:ilvl w:val="0"/>
          <w:numId w:val="1001"/>
        </w:numPr>
      </w:pPr>
      <w:r>
        <w:t xml:space="preserve">Q1 same-property NOI would be above the annual range.</w:t>
      </w:r>
    </w:p>
    <w:p>
      <w:pPr>
        <w:pStyle w:val="Compact"/>
        <w:numPr>
          <w:ilvl w:val="0"/>
          <w:numId w:val="1001"/>
        </w:numPr>
      </w:pPr>
      <w:r>
        <w:t xml:space="preserve">Q2 would be below it.</w:t>
      </w:r>
    </w:p>
    <w:p>
      <w:pPr>
        <w:pStyle w:val="Compact"/>
        <w:numPr>
          <w:ilvl w:val="0"/>
          <w:numId w:val="1001"/>
        </w:numPr>
      </w:pPr>
      <w:r>
        <w:t xml:space="preserve">The Q2 pressure primarily reflects a difficult comparison with favorable prior-year expense reconciliations.</w:t>
      </w:r>
    </w:p>
    <w:p>
      <w:pPr>
        <w:pStyle w:val="Compact"/>
        <w:numPr>
          <w:ilvl w:val="0"/>
          <w:numId w:val="1001"/>
        </w:numPr>
      </w:pPr>
      <w:r>
        <w:t xml:space="preserve">Base-rent growth should remain healthy.</w:t>
      </w:r>
    </w:p>
    <w:p>
      <w:pPr>
        <w:pStyle w:val="FirstParagraph"/>
      </w:pPr>
      <w:r>
        <w:t xml:space="preserve">Accordingly, a Q2 same-property NOI result below 3.25% should not automatically be interpreted as a miss. Investors should instead examine:</w:t>
      </w:r>
    </w:p>
    <w:p>
      <w:pPr>
        <w:pStyle w:val="Compact"/>
        <w:numPr>
          <w:ilvl w:val="0"/>
          <w:numId w:val="1002"/>
        </w:numPr>
      </w:pPr>
      <w:r>
        <w:rPr>
          <w:b/>
          <w:bCs/>
        </w:rPr>
        <w:t xml:space="preserve">Base-rent growth:</w:t>
      </w:r>
      <w:r>
        <w:t xml:space="preserve"> </w:t>
      </w:r>
      <w:r>
        <w:t xml:space="preserve">Q1’s contribution was approximately 3.6%. A result still around the mid-3% area would support the underlying thesis.</w:t>
      </w:r>
    </w:p>
    <w:p>
      <w:pPr>
        <w:pStyle w:val="Compact"/>
        <w:numPr>
          <w:ilvl w:val="0"/>
          <w:numId w:val="1002"/>
        </w:numPr>
      </w:pPr>
      <w:r>
        <w:rPr>
          <w:b/>
          <w:bCs/>
        </w:rPr>
        <w:t xml:space="preserve">Expense recoveries and NOI margin:</w:t>
      </w:r>
      <w:r>
        <w:t xml:space="preserve"> </w:t>
      </w:r>
      <w:r>
        <w:t xml:space="preserve">These will explain whether the headline slowdown is purely comparative.</w:t>
      </w:r>
    </w:p>
    <w:p>
      <w:pPr>
        <w:pStyle w:val="Compact"/>
        <w:numPr>
          <w:ilvl w:val="0"/>
          <w:numId w:val="1002"/>
        </w:numPr>
      </w:pPr>
      <w:r>
        <w:rPr>
          <w:b/>
          <w:bCs/>
        </w:rPr>
        <w:t xml:space="preserve">Full-year guidance:</w:t>
      </w:r>
      <w:r>
        <w:t xml:space="preserve"> </w:t>
      </w:r>
      <w:r>
        <w:t xml:space="preserve">Maintaining 3.25%–3.75% would signal that the quarterly softness is timing-related.</w:t>
      </w:r>
    </w:p>
    <w:p>
      <w:pPr>
        <w:pStyle w:val="Compact"/>
        <w:numPr>
          <w:ilvl w:val="0"/>
          <w:numId w:val="1002"/>
        </w:numPr>
      </w:pPr>
      <w:r>
        <w:rPr>
          <w:b/>
          <w:bCs/>
        </w:rPr>
        <w:t xml:space="preserve">Management’s second-half cadence:</w:t>
      </w:r>
      <w:r>
        <w:t xml:space="preserve"> </w:t>
      </w:r>
      <w:r>
        <w:t xml:space="preserve">Investors need confidence that NOI growth reaccelerates after the Q2 comparison.</w:t>
      </w:r>
    </w:p>
    <w:p>
      <w:pPr>
        <w:pStyle w:val="FirstParagraph"/>
      </w:pPr>
      <w:r>
        <w:t xml:space="preserve">A weak headline NOI print accompanied by solid base rents and reiterated guidance would be a much better outcome than a better-looking NOI number supported by nonrecurring income.</w:t>
      </w:r>
    </w:p>
    <w:p>
      <w:r>
        <w:pict>
          <v:rect style="width:0;height:1.5pt" o:hralign="center" o:hrstd="t" o:hr="t"/>
        </w:pict>
      </w:r>
    </w:p>
    <w:bookmarkEnd w:id="14"/>
    <w:bookmarkStart w:id="15" w:name="X1051d4f0f168a796163611210ecf57264b27a09"/>
    <w:p>
      <w:pPr>
        <w:pStyle w:val="Heading2"/>
      </w:pPr>
      <w:r>
        <w:t xml:space="preserve">2. Commenced occupancy is the central internal-growth lever</w:t>
      </w:r>
    </w:p>
    <w:p>
      <w:pPr>
        <w:pStyle w:val="FirstParagraph"/>
      </w:pPr>
      <w:r>
        <w:t xml:space="preserve">Regency ended Q1 at:</w:t>
      </w:r>
    </w:p>
    <w:p>
      <w:pPr>
        <w:pStyle w:val="Compact"/>
        <w:numPr>
          <w:ilvl w:val="0"/>
          <w:numId w:val="1003"/>
        </w:numPr>
      </w:pPr>
      <w:r>
        <w:rPr>
          <w:b/>
          <w:bCs/>
        </w:rPr>
        <w:t xml:space="preserve">96.6% leased</w:t>
      </w:r>
    </w:p>
    <w:p>
      <w:pPr>
        <w:pStyle w:val="Compact"/>
        <w:numPr>
          <w:ilvl w:val="0"/>
          <w:numId w:val="1003"/>
        </w:numPr>
      </w:pPr>
      <w:r>
        <w:rPr>
          <w:b/>
          <w:bCs/>
        </w:rPr>
        <w:t xml:space="preserve">94.3% commenced</w:t>
      </w:r>
    </w:p>
    <w:p>
      <w:pPr>
        <w:pStyle w:val="Compact"/>
        <w:numPr>
          <w:ilvl w:val="0"/>
          <w:numId w:val="1003"/>
        </w:numPr>
      </w:pPr>
      <w:r>
        <w:t xml:space="preserve">A</w:t>
      </w:r>
      <w:r>
        <w:t xml:space="preserve"> </w:t>
      </w:r>
      <w:r>
        <w:rPr>
          <w:b/>
          <w:bCs/>
        </w:rPr>
        <w:t xml:space="preserve">230-basis-point gap</w:t>
      </w:r>
      <w:r>
        <w:t xml:space="preserve"> </w:t>
      </w:r>
      <w:r>
        <w:t xml:space="preserve">between the two</w:t>
      </w:r>
    </w:p>
    <w:p>
      <w:pPr>
        <w:pStyle w:val="FirstParagraph"/>
      </w:pPr>
      <w:r>
        <w:t xml:space="preserve">Management estimated that the signed-not-open pipeline represented approximately</w:t>
      </w:r>
      <w:r>
        <w:t xml:space="preserve"> </w:t>
      </w:r>
      <w:r>
        <w:rPr>
          <w:b/>
          <w:bCs/>
        </w:rPr>
        <w:t xml:space="preserve">$42 million of incremental annual base rent</w:t>
      </w:r>
      <w:r>
        <w:t xml:space="preserve">. That pipeline is one of the clearest sources of embedded growth because the leases have already been signed; execution now depends largely on tenant build-outs and opening dates.</w:t>
      </w:r>
    </w:p>
    <w:p>
      <w:pPr>
        <w:pStyle w:val="BodyText"/>
      </w:pPr>
      <w:r>
        <w:t xml:space="preserve">The best Q2 operating signal would be another increase in commenced occupancy while leased occupancy remains near or above 96.5%. Investors should watch for:</w:t>
      </w:r>
    </w:p>
    <w:p>
      <w:pPr>
        <w:pStyle w:val="Compact"/>
        <w:numPr>
          <w:ilvl w:val="0"/>
          <w:numId w:val="1004"/>
        </w:numPr>
      </w:pPr>
      <w:r>
        <w:t xml:space="preserve">Reduction in the leased-versus-commenced gap</w:t>
      </w:r>
    </w:p>
    <w:p>
      <w:pPr>
        <w:pStyle w:val="Compact"/>
        <w:numPr>
          <w:ilvl w:val="0"/>
          <w:numId w:val="1004"/>
        </w:numPr>
      </w:pPr>
      <w:r>
        <w:t xml:space="preserve">Updated signed-not-open annual rent</w:t>
      </w:r>
    </w:p>
    <w:p>
      <w:pPr>
        <w:pStyle w:val="Compact"/>
        <w:numPr>
          <w:ilvl w:val="0"/>
          <w:numId w:val="1004"/>
        </w:numPr>
      </w:pPr>
      <w:r>
        <w:t xml:space="preserve">Tenant opening delays</w:t>
      </w:r>
    </w:p>
    <w:p>
      <w:pPr>
        <w:pStyle w:val="Compact"/>
        <w:numPr>
          <w:ilvl w:val="0"/>
          <w:numId w:val="1004"/>
        </w:numPr>
      </w:pPr>
      <w:r>
        <w:t xml:space="preserve">The amount of rent expected to commence in the second half of 2026</w:t>
      </w:r>
    </w:p>
    <w:p>
      <w:pPr>
        <w:pStyle w:val="Compact"/>
        <w:numPr>
          <w:ilvl w:val="0"/>
          <w:numId w:val="1004"/>
        </w:numPr>
      </w:pPr>
      <w:r>
        <w:t xml:space="preserve">Whether anchor occupancy can move beyond Q1’s 98.2%</w:t>
      </w:r>
    </w:p>
    <w:p>
      <w:pPr>
        <w:pStyle w:val="FirstParagraph"/>
      </w:pPr>
      <w:r>
        <w:t xml:space="preserve">Regency does not need substantial additional occupancy gains to grow NOI. It needs to convert existing leases into paying occupancy and continue marking rents to market.</w:t>
      </w:r>
    </w:p>
    <w:p>
      <w:r>
        <w:pict>
          <v:rect style="width:0;height:1.5pt" o:hralign="center" o:hrstd="t" o:hr="t"/>
        </w:pict>
      </w:r>
    </w:p>
    <w:bookmarkEnd w:id="15"/>
    <w:bookmarkStart w:id="16" w:name="X9f369089dfe937d34ac09a213039e02606b0c7d"/>
    <w:p>
      <w:pPr>
        <w:pStyle w:val="Heading2"/>
      </w:pPr>
      <w:r>
        <w:t xml:space="preserve">3. Leasing remains the strongest part of the story</w:t>
      </w:r>
    </w:p>
    <w:p>
      <w:pPr>
        <w:pStyle w:val="FirstParagraph"/>
      </w:pPr>
      <w:r>
        <w:t xml:space="preserve">Q1 comparable leasing totaled 1.5 million square feet at:</w:t>
      </w:r>
    </w:p>
    <w:p>
      <w:pPr>
        <w:pStyle w:val="Compact"/>
        <w:numPr>
          <w:ilvl w:val="0"/>
          <w:numId w:val="1005"/>
        </w:numPr>
      </w:pPr>
      <w:r>
        <w:rPr>
          <w:b/>
          <w:bCs/>
        </w:rPr>
        <w:t xml:space="preserve">12.1% cash spreads</w:t>
      </w:r>
    </w:p>
    <w:p>
      <w:pPr>
        <w:pStyle w:val="Compact"/>
        <w:numPr>
          <w:ilvl w:val="0"/>
          <w:numId w:val="1005"/>
        </w:numPr>
      </w:pPr>
      <w:r>
        <w:rPr>
          <w:b/>
          <w:bCs/>
        </w:rPr>
        <w:t xml:space="preserve">24.3% straight-line spreads</w:t>
      </w:r>
    </w:p>
    <w:p>
      <w:pPr>
        <w:pStyle w:val="FirstParagraph"/>
      </w:pPr>
      <w:r>
        <w:t xml:space="preserve">Over the trailing 12 months, cash spreads were 11.7%. Management subsequently described the current backdrop as one of the best leasing environments it had seen in decades, with retailers sometimes signing leases two or three years before space becomes available.</w:t>
      </w:r>
    </w:p>
    <w:p>
      <w:pPr>
        <w:pStyle w:val="BodyText"/>
      </w:pPr>
      <w:r>
        <w:t xml:space="preserve">The Q2 questions are:</w:t>
      </w:r>
    </w:p>
    <w:p>
      <w:pPr>
        <w:pStyle w:val="Compact"/>
        <w:numPr>
          <w:ilvl w:val="0"/>
          <w:numId w:val="1006"/>
        </w:numPr>
      </w:pPr>
      <w:r>
        <w:t xml:space="preserve">Do cash spreads remain in double digits?</w:t>
      </w:r>
    </w:p>
    <w:p>
      <w:pPr>
        <w:pStyle w:val="Compact"/>
        <w:numPr>
          <w:ilvl w:val="0"/>
          <w:numId w:val="1006"/>
        </w:numPr>
      </w:pPr>
      <w:r>
        <w:t xml:space="preserve">Does leasing volume hold up despite already-high occupancy?</w:t>
      </w:r>
    </w:p>
    <w:p>
      <w:pPr>
        <w:pStyle w:val="Compact"/>
        <w:numPr>
          <w:ilvl w:val="0"/>
          <w:numId w:val="1006"/>
        </w:numPr>
      </w:pPr>
      <w:r>
        <w:t xml:space="preserve">Are contractual rent increases still strengthening?</w:t>
      </w:r>
    </w:p>
    <w:p>
      <w:pPr>
        <w:pStyle w:val="Compact"/>
        <w:numPr>
          <w:ilvl w:val="0"/>
          <w:numId w:val="1006"/>
        </w:numPr>
      </w:pPr>
      <w:r>
        <w:t xml:space="preserve">Are tenants continuing to lease occupied space well in advance?</w:t>
      </w:r>
    </w:p>
    <w:p>
      <w:pPr>
        <w:pStyle w:val="Compact"/>
        <w:numPr>
          <w:ilvl w:val="0"/>
          <w:numId w:val="1006"/>
        </w:numPr>
      </w:pPr>
      <w:r>
        <w:t xml:space="preserve">Is pricing power broad-based across anchors and shops?</w:t>
      </w:r>
    </w:p>
    <w:p>
      <w:pPr>
        <w:pStyle w:val="FirstParagraph"/>
      </w:pPr>
      <w:r>
        <w:t xml:space="preserve">Particularly important is the embedded rent structure. In Q1, management said 90% of new shop leases included annual increases of at least 3%, with roughly one-quarter at 4% or more. Sustaining those terms would support durable rent growth beyond the current occupancy cycle.</w:t>
      </w:r>
    </w:p>
    <w:p>
      <w:pPr>
        <w:pStyle w:val="BodyText"/>
      </w:pPr>
      <w:r>
        <w:t xml:space="preserve">A modest decline in leasing volume would not be concerning by itself, given the limited available space. Deteriorating spreads or weaker contractual increases would be more significant.</w:t>
      </w:r>
    </w:p>
    <w:p>
      <w:r>
        <w:pict>
          <v:rect style="width:0;height:1.5pt" o:hralign="center" o:hrstd="t" o:hr="t"/>
        </w:pict>
      </w:r>
    </w:p>
    <w:bookmarkEnd w:id="16"/>
    <w:bookmarkStart w:id="17" w:name="X85ce7857babb965c703c602e863ddf8deee684d"/>
    <w:p>
      <w:pPr>
        <w:pStyle w:val="Heading2"/>
      </w:pPr>
      <w:r>
        <w:t xml:space="preserve">4. Tenant health: watch the exceptions, not just the averages</w:t>
      </w:r>
    </w:p>
    <w:p>
      <w:pPr>
        <w:pStyle w:val="FirstParagraph"/>
      </w:pPr>
      <w:r>
        <w:t xml:space="preserve">Regency’s grocery-anchored portfolio continues to benefit from necessity, service and value-oriented tenants. At its June investor conference, management said:</w:t>
      </w:r>
    </w:p>
    <w:p>
      <w:pPr>
        <w:pStyle w:val="Compact"/>
        <w:numPr>
          <w:ilvl w:val="0"/>
          <w:numId w:val="1007"/>
        </w:numPr>
      </w:pPr>
      <w:r>
        <w:t xml:space="preserve">Watch-list tenants represented less than 2% of annual base rent.</w:t>
      </w:r>
    </w:p>
    <w:p>
      <w:pPr>
        <w:pStyle w:val="Compact"/>
        <w:numPr>
          <w:ilvl w:val="0"/>
          <w:numId w:val="1007"/>
        </w:numPr>
      </w:pPr>
      <w:r>
        <w:t xml:space="preserve">Bad debt was running below historical averages.</w:t>
      </w:r>
    </w:p>
    <w:p>
      <w:pPr>
        <w:pStyle w:val="Compact"/>
        <w:numPr>
          <w:ilvl w:val="0"/>
          <w:numId w:val="1007"/>
        </w:numPr>
      </w:pPr>
      <w:r>
        <w:t xml:space="preserve">Bankrupt space was being reabsorbed unusually quickly.</w:t>
      </w:r>
    </w:p>
    <w:p>
      <w:pPr>
        <w:pStyle w:val="Compact"/>
        <w:numPr>
          <w:ilvl w:val="0"/>
          <w:numId w:val="1007"/>
        </w:numPr>
      </w:pPr>
      <w:r>
        <w:t xml:space="preserve">Some bankrupt retailers were retaining or selling leases rather than returning locations.</w:t>
      </w:r>
    </w:p>
    <w:p>
      <w:pPr>
        <w:pStyle w:val="FirstParagraph"/>
      </w:pPr>
      <w:r>
        <w:t xml:space="preserve">Nevertheless, Q1 contained a reminder that tenant risk has not disappeared. Regency moved one tenant lease to cash-basis accounting because of concerns about its ability to fulfill future lease obligations. That reduced noncash revenue but did not affect core operating earnings because the tenant was still current on rent.</w:t>
      </w:r>
    </w:p>
    <w:p>
      <w:pPr>
        <w:pStyle w:val="BodyText"/>
      </w:pPr>
      <w:r>
        <w:t xml:space="preserve">For Q2, investors should focus on:</w:t>
      </w:r>
    </w:p>
    <w:p>
      <w:pPr>
        <w:pStyle w:val="Compact"/>
        <w:numPr>
          <w:ilvl w:val="0"/>
          <w:numId w:val="1008"/>
        </w:numPr>
      </w:pPr>
      <w:r>
        <w:t xml:space="preserve">Uncollectible lease income and bad debt</w:t>
      </w:r>
    </w:p>
    <w:p>
      <w:pPr>
        <w:pStyle w:val="Compact"/>
        <w:numPr>
          <w:ilvl w:val="0"/>
          <w:numId w:val="1008"/>
        </w:numPr>
      </w:pPr>
      <w:r>
        <w:t xml:space="preserve">Any additional leases moved to cash accounting</w:t>
      </w:r>
    </w:p>
    <w:p>
      <w:pPr>
        <w:pStyle w:val="Compact"/>
        <w:numPr>
          <w:ilvl w:val="0"/>
          <w:numId w:val="1008"/>
        </w:numPr>
      </w:pPr>
      <w:r>
        <w:t xml:space="preserve">Bankruptcy-related vacancies</w:t>
      </w:r>
    </w:p>
    <w:p>
      <w:pPr>
        <w:pStyle w:val="Compact"/>
        <w:numPr>
          <w:ilvl w:val="0"/>
          <w:numId w:val="1008"/>
        </w:numPr>
      </w:pPr>
      <w:r>
        <w:t xml:space="preserve">Restaurant and discretionary-shop sales</w:t>
      </w:r>
    </w:p>
    <w:p>
      <w:pPr>
        <w:pStyle w:val="Compact"/>
        <w:numPr>
          <w:ilvl w:val="0"/>
          <w:numId w:val="1008"/>
        </w:numPr>
      </w:pPr>
      <w:r>
        <w:t xml:space="preserve">Collections and foot traffic</w:t>
      </w:r>
    </w:p>
    <w:p>
      <w:pPr>
        <w:pStyle w:val="Compact"/>
        <w:numPr>
          <w:ilvl w:val="0"/>
          <w:numId w:val="1008"/>
        </w:numPr>
      </w:pPr>
      <w:r>
        <w:t xml:space="preserve">Whether management changes its full-year noncash-revenue assumption</w:t>
      </w:r>
    </w:p>
    <w:p>
      <w:pPr>
        <w:pStyle w:val="FirstParagraph"/>
      </w:pPr>
      <w:r>
        <w:t xml:space="preserve">Core operating earnings will likely provide a cleaner reading than reported FFO if noncash rent adjustments remain volatile.</w:t>
      </w:r>
    </w:p>
    <w:p>
      <w:r>
        <w:pict>
          <v:rect style="width:0;height:1.5pt" o:hralign="center" o:hrstd="t" o:hr="t"/>
        </w:pict>
      </w:r>
    </w:p>
    <w:bookmarkEnd w:id="17"/>
    <w:bookmarkStart w:id="18" w:name="X69a01392ac2843f27c52f8233a72418967984db"/>
    <w:p>
      <w:pPr>
        <w:pStyle w:val="Heading2"/>
      </w:pPr>
      <w:r>
        <w:t xml:space="preserve">5. Development is the differentiator—and the main execution risk</w:t>
      </w:r>
    </w:p>
    <w:p>
      <w:pPr>
        <w:pStyle w:val="FirstParagraph"/>
      </w:pPr>
      <w:r>
        <w:t xml:space="preserve">Regency had</w:t>
      </w:r>
      <w:r>
        <w:t xml:space="preserve"> </w:t>
      </w:r>
      <w:r>
        <w:rPr>
          <w:b/>
          <w:bCs/>
        </w:rPr>
        <w:t xml:space="preserve">$635 million</w:t>
      </w:r>
      <w:r>
        <w:t xml:space="preserve"> </w:t>
      </w:r>
      <w:r>
        <w:t xml:space="preserve">of development and redevelopment projects underway at the end of Q1:</w:t>
      </w:r>
    </w:p>
    <w:p>
      <w:pPr>
        <w:pStyle w:val="Compact"/>
        <w:numPr>
          <w:ilvl w:val="0"/>
          <w:numId w:val="1009"/>
        </w:numPr>
      </w:pPr>
      <w:r>
        <w:t xml:space="preserve">Approximately 46% of costs had been incurred.</w:t>
      </w:r>
    </w:p>
    <w:p>
      <w:pPr>
        <w:pStyle w:val="Compact"/>
        <w:numPr>
          <w:ilvl w:val="0"/>
          <w:numId w:val="1009"/>
        </w:numPr>
      </w:pPr>
      <w:r>
        <w:t xml:space="preserve">The blended expected yield was around 9%.</w:t>
      </w:r>
    </w:p>
    <w:p>
      <w:pPr>
        <w:pStyle w:val="Compact"/>
        <w:numPr>
          <w:ilvl w:val="0"/>
          <w:numId w:val="1009"/>
        </w:numPr>
      </w:pPr>
      <w:r>
        <w:t xml:space="preserve">Management increased 2026 development and redevelopment spending guidance from approximately $325 million to $350 million.</w:t>
      </w:r>
    </w:p>
    <w:p>
      <w:pPr>
        <w:pStyle w:val="Compact"/>
        <w:numPr>
          <w:ilvl w:val="0"/>
          <w:numId w:val="1009"/>
        </w:numPr>
      </w:pPr>
      <w:r>
        <w:t xml:space="preserve">Management sees more than $1 billion of potential starts over three years.</w:t>
      </w:r>
    </w:p>
    <w:p>
      <w:pPr>
        <w:pStyle w:val="FirstParagraph"/>
      </w:pPr>
      <w:r>
        <w:t xml:space="preserve">The broader opportunity is compelling. High-quality grocery-anchored centers often trade at cap rates in the mid-5% area, while Regency believes it can build comparable assets at development yields beginning with a 7%. That spread can create meaningful net asset value.</w:t>
      </w:r>
    </w:p>
    <w:p>
      <w:pPr>
        <w:pStyle w:val="BodyText"/>
      </w:pPr>
      <w:r>
        <w:t xml:space="preserve">But the market will want proof that the pipeline remains:</w:t>
      </w:r>
    </w:p>
    <w:p>
      <w:pPr>
        <w:pStyle w:val="Compact"/>
        <w:numPr>
          <w:ilvl w:val="0"/>
          <w:numId w:val="1010"/>
        </w:numPr>
      </w:pPr>
      <w:r>
        <w:t xml:space="preserve">On budget</w:t>
      </w:r>
    </w:p>
    <w:p>
      <w:pPr>
        <w:pStyle w:val="Compact"/>
        <w:numPr>
          <w:ilvl w:val="0"/>
          <w:numId w:val="1010"/>
        </w:numPr>
      </w:pPr>
      <w:r>
        <w:t xml:space="preserve">On schedule</w:t>
      </w:r>
    </w:p>
    <w:p>
      <w:pPr>
        <w:pStyle w:val="Compact"/>
        <w:numPr>
          <w:ilvl w:val="0"/>
          <w:numId w:val="1010"/>
        </w:numPr>
      </w:pPr>
      <w:r>
        <w:t xml:space="preserve">Adequately pre-leased</w:t>
      </w:r>
    </w:p>
    <w:p>
      <w:pPr>
        <w:pStyle w:val="Compact"/>
        <w:numPr>
          <w:ilvl w:val="0"/>
          <w:numId w:val="1010"/>
        </w:numPr>
      </w:pPr>
      <w:r>
        <w:t xml:space="preserve">Capable of producing projected yields</w:t>
      </w:r>
    </w:p>
    <w:p>
      <w:pPr>
        <w:pStyle w:val="Compact"/>
        <w:numPr>
          <w:ilvl w:val="0"/>
          <w:numId w:val="1010"/>
        </w:numPr>
      </w:pPr>
      <w:r>
        <w:t xml:space="preserve">Funded without unnecessary equity issuance</w:t>
      </w:r>
    </w:p>
    <w:p>
      <w:pPr>
        <w:pStyle w:val="FirstParagraph"/>
      </w:pPr>
      <w:r>
        <w:t xml:space="preserve">A higher spending forecast could be bullish if driven by additional high-return starts. It would be less attractive if caused by cost inflation or delays.</w:t>
      </w:r>
    </w:p>
    <w:p>
      <w:pPr>
        <w:pStyle w:val="BodyText"/>
      </w:pPr>
      <w:r>
        <w:t xml:space="preserve">Investors should also listen for whether expected starts remain back-half weighted and whether any timing has moved into 2027.</w:t>
      </w:r>
    </w:p>
    <w:p>
      <w:r>
        <w:pict>
          <v:rect style="width:0;height:1.5pt" o:hralign="center" o:hrstd="t" o:hr="t"/>
        </w:pict>
      </w:r>
    </w:p>
    <w:bookmarkEnd w:id="18"/>
    <w:bookmarkStart w:id="19" w:name="Xf69cdcd1a6d6dcc0b3996b8b95e6125200a53d8"/>
    <w:p>
      <w:pPr>
        <w:pStyle w:val="Heading2"/>
      </w:pPr>
      <w:r>
        <w:t xml:space="preserve">6. Guidance matters more than a small quarterly FFO beat</w:t>
      </w:r>
    </w:p>
    <w:p>
      <w:pPr>
        <w:pStyle w:val="FirstParagraph"/>
      </w:pPr>
      <w:r>
        <w:t xml:space="preserve">The current 2026 outlook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Measure</w:t>
            </w:r>
          </w:p>
        </w:tc>
        <w:tc>
          <w:tcPr/>
          <w:p>
            <w:pPr>
              <w:pStyle w:val="Compact"/>
              <w:jc w:val="right"/>
            </w:pPr>
            <w:r>
              <w:t xml:space="preserve">Guidance</w:t>
            </w:r>
          </w:p>
        </w:tc>
      </w:tr>
      <w:tr>
        <w:tc>
          <w:tcPr/>
          <w:p>
            <w:pPr>
              <w:pStyle w:val="Compact"/>
            </w:pPr>
            <w:r>
              <w:t xml:space="preserve">Nareit FFO/share</w:t>
            </w:r>
          </w:p>
        </w:tc>
        <w:tc>
          <w:tcPr/>
          <w:p>
            <w:pPr>
              <w:pStyle w:val="Compact"/>
              <w:jc w:val="right"/>
            </w:pPr>
            <m:oMath>
              <m:r>
                <m:t>4.83</m:t>
              </m:r>
              <m:r>
                <m:rPr>
                  <m:sty m:val="p"/>
                </m:rPr>
                <m:t>–</m:t>
              </m:r>
            </m:oMath>
            <w:r>
              <w:t xml:space="preserve">4.87</w:t>
            </w:r>
          </w:p>
        </w:tc>
      </w:tr>
      <w:tr>
        <w:tc>
          <w:tcPr/>
          <w:p>
            <w:pPr>
              <w:pStyle w:val="Compact"/>
            </w:pPr>
            <w:r>
              <w:t xml:space="preserve">Core operating earnings/share</w:t>
            </w:r>
          </w:p>
        </w:tc>
        <w:tc>
          <w:tcPr/>
          <w:p>
            <w:pPr>
              <w:pStyle w:val="Compact"/>
              <w:jc w:val="right"/>
            </w:pPr>
            <m:oMath>
              <m:r>
                <m:t>4.59</m:t>
              </m:r>
              <m:r>
                <m:rPr>
                  <m:sty m:val="p"/>
                </m:rPr>
                <m:t>–</m:t>
              </m:r>
            </m:oMath>
            <w:r>
              <w:t xml:space="preserve">4.63</w:t>
            </w:r>
          </w:p>
        </w:tc>
      </w:tr>
      <w:tr>
        <w:tc>
          <w:tcPr/>
          <w:p>
            <w:pPr>
              <w:pStyle w:val="Compact"/>
            </w:pPr>
            <w:r>
              <w:t xml:space="preserve">Same-property NOI growth</w:t>
            </w:r>
          </w:p>
        </w:tc>
        <w:tc>
          <w:tcPr/>
          <w:p>
            <w:pPr>
              <w:pStyle w:val="Compact"/>
              <w:jc w:val="right"/>
            </w:pPr>
            <w:r>
              <w:t xml:space="preserve">3.25%–3.75%</w:t>
            </w:r>
          </w:p>
        </w:tc>
      </w:tr>
      <w:tr>
        <w:tc>
          <w:tcPr/>
          <w:p>
            <w:pPr>
              <w:pStyle w:val="Compact"/>
            </w:pPr>
            <w:r>
              <w:t xml:space="preserve">Development/redevelopment spending</w:t>
            </w:r>
          </w:p>
        </w:tc>
        <w:tc>
          <w:tcPr/>
          <w:p>
            <w:pPr>
              <w:pStyle w:val="Compact"/>
              <w:jc w:val="right"/>
            </w:pPr>
            <w:r>
              <w:t xml:space="preserve">Approximately $350M</w:t>
            </w:r>
          </w:p>
        </w:tc>
      </w:tr>
      <w:tr>
        <w:tc>
          <w:tcPr/>
          <w:p>
            <w:pPr>
              <w:pStyle w:val="Compact"/>
            </w:pPr>
            <w:r>
              <w:t xml:space="preserve">Acquisitions</w:t>
            </w:r>
          </w:p>
        </w:tc>
        <w:tc>
          <w:tcPr/>
          <w:p>
            <w:pPr>
              <w:pStyle w:val="Compact"/>
              <w:jc w:val="right"/>
            </w:pPr>
            <w:r>
              <w:t xml:space="preserve">Approximately $25M</w:t>
            </w:r>
          </w:p>
        </w:tc>
      </w:tr>
      <w:tr>
        <w:tc>
          <w:tcPr/>
          <w:p>
            <w:pPr>
              <w:pStyle w:val="Compact"/>
            </w:pPr>
            <w:r>
              <w:t xml:space="preserve">Net interest and preferred dividends</w:t>
            </w:r>
          </w:p>
        </w:tc>
        <w:tc>
          <w:tcPr/>
          <w:p>
            <w:pPr>
              <w:pStyle w:val="Compact"/>
              <w:jc w:val="right"/>
            </w:pPr>
            <m:oMath>
              <m:r>
                <m:t>250</m:t>
              </m:r>
              <m:r>
                <m:t>M</m:t>
              </m:r>
              <m:r>
                <m:rPr>
                  <m:sty m:val="p"/>
                </m:rPr>
                <m:t>–</m:t>
              </m:r>
            </m:oMath>
            <w:r>
              <w:t xml:space="preserve">252M</w:t>
            </w:r>
          </w:p>
        </w:tc>
      </w:tr>
    </w:tbl>
    <w:p>
      <w:pPr>
        <w:pStyle w:val="BodyText"/>
      </w:pPr>
      <w:r>
        <w:t xml:space="preserve">Q1 FFO of $1.20 left</w:t>
      </w:r>
      <w:r>
        <w:t xml:space="preserve"> </w:t>
      </w:r>
      <m:oMath>
        <m:r>
          <m:t>3.63</m:t>
        </m:r>
        <m:r>
          <m:rPr>
            <m:sty m:val="p"/>
          </m:rPr>
          <m:t>–</m:t>
        </m:r>
      </m:oMath>
      <w:r>
        <w:t xml:space="preserve">3.67 of FFO required over the final three quarters. That appears achievable given the signed-not-open pipeline, development deliveries and contribution from acquisitions completed in 2025.</w:t>
      </w:r>
    </w:p>
    <w:p>
      <w:pPr>
        <w:pStyle w:val="BodyText"/>
      </w:pPr>
      <w:r>
        <w:t xml:space="preserve">The stock would likely respond more favorably to a modest full-year guidance increase than to a few cents of quarterly upside with unchanged guidance. The most valuable positive revisions would be:</w:t>
      </w:r>
    </w:p>
    <w:p>
      <w:pPr>
        <w:pStyle w:val="Compact"/>
        <w:numPr>
          <w:ilvl w:val="0"/>
          <w:numId w:val="1011"/>
        </w:numPr>
      </w:pPr>
      <w:r>
        <w:t xml:space="preserve">Higher core operating earnings</w:t>
      </w:r>
    </w:p>
    <w:p>
      <w:pPr>
        <w:pStyle w:val="Compact"/>
        <w:numPr>
          <w:ilvl w:val="0"/>
          <w:numId w:val="1011"/>
        </w:numPr>
      </w:pPr>
      <w:r>
        <w:t xml:space="preserve">Higher FFO</w:t>
      </w:r>
    </w:p>
    <w:p>
      <w:pPr>
        <w:pStyle w:val="Compact"/>
        <w:numPr>
          <w:ilvl w:val="0"/>
          <w:numId w:val="1011"/>
        </w:numPr>
      </w:pPr>
      <w:r>
        <w:t xml:space="preserve">A higher or narrower same-property NOI range</w:t>
      </w:r>
    </w:p>
    <w:p>
      <w:pPr>
        <w:pStyle w:val="Compact"/>
        <w:numPr>
          <w:ilvl w:val="0"/>
          <w:numId w:val="1011"/>
        </w:numPr>
      </w:pPr>
      <w:r>
        <w:t xml:space="preserve">More development starts without a deterioration in expected yields</w:t>
      </w:r>
    </w:p>
    <w:p>
      <w:pPr>
        <w:pStyle w:val="FirstParagraph"/>
      </w:pPr>
      <w:r>
        <w:t xml:space="preserve">Because management already reiterated its outlook at the June investor conference, a cut would be especially surprising and negative.</w:t>
      </w:r>
    </w:p>
    <w:p>
      <w:r>
        <w:pict>
          <v:rect style="width:0;height:1.5pt" o:hralign="center" o:hrstd="t" o:hr="t"/>
        </w:pict>
      </w:r>
    </w:p>
    <w:bookmarkEnd w:id="19"/>
    <w:bookmarkStart w:id="20" w:name="balance-sheet-and-valuation-context"/>
    <w:p>
      <w:pPr>
        <w:pStyle w:val="Heading2"/>
      </w:pPr>
      <w:r>
        <w:t xml:space="preserve">Balance sheet and valuation context</w:t>
      </w:r>
    </w:p>
    <w:p>
      <w:pPr>
        <w:pStyle w:val="FirstParagraph"/>
      </w:pPr>
      <w:r>
        <w:t xml:space="preserve">Regency ended Q1 with:</w:t>
      </w:r>
    </w:p>
    <w:p>
      <w:pPr>
        <w:pStyle w:val="Compact"/>
        <w:numPr>
          <w:ilvl w:val="0"/>
          <w:numId w:val="1012"/>
        </w:numPr>
      </w:pPr>
      <w:r>
        <w:rPr>
          <w:b/>
          <w:bCs/>
        </w:rPr>
        <w:t xml:space="preserve">5.2x</w:t>
      </w:r>
      <w:r>
        <w:t xml:space="preserve"> </w:t>
      </w:r>
      <w:r>
        <w:t xml:space="preserve">pro-rata net debt and preferred stock to EBITDAre</w:t>
      </w:r>
    </w:p>
    <w:p>
      <w:pPr>
        <w:pStyle w:val="Compact"/>
        <w:numPr>
          <w:ilvl w:val="0"/>
          <w:numId w:val="1012"/>
        </w:numPr>
      </w:pPr>
      <w:r>
        <w:t xml:space="preserve">Approximately</w:t>
      </w:r>
      <w:r>
        <w:t xml:space="preserve"> </w:t>
      </w:r>
      <w:r>
        <w:rPr>
          <w:b/>
          <w:bCs/>
        </w:rPr>
        <w:t xml:space="preserve">$1.5 billion</w:t>
      </w:r>
      <w:r>
        <w:t xml:space="preserve"> </w:t>
      </w:r>
      <w:r>
        <w:t xml:space="preserve">of revolver capacity</w:t>
      </w:r>
    </w:p>
    <w:p>
      <w:pPr>
        <w:pStyle w:val="Compact"/>
        <w:numPr>
          <w:ilvl w:val="0"/>
          <w:numId w:val="1012"/>
        </w:numPr>
      </w:pPr>
      <w:r>
        <w:t xml:space="preserve">A recently issued</w:t>
      </w:r>
      <w:r>
        <w:t xml:space="preserve"> </w:t>
      </w:r>
      <w:r>
        <w:rPr>
          <w:b/>
          <w:bCs/>
        </w:rPr>
        <w:t xml:space="preserve">$450 million, 4.50% unsecured note due 2033</w:t>
      </w:r>
    </w:p>
    <w:p>
      <w:pPr>
        <w:pStyle w:val="Compact"/>
        <w:numPr>
          <w:ilvl w:val="0"/>
          <w:numId w:val="1012"/>
        </w:numPr>
      </w:pPr>
      <w:r>
        <w:t xml:space="preserve">No stated need to issue equity or sell properties to fund the existing development pipeline</w:t>
      </w:r>
    </w:p>
    <w:p>
      <w:pPr>
        <w:pStyle w:val="FirstParagraph"/>
      </w:pPr>
      <w:r>
        <w:t xml:space="preserve">At the July 28 close of</w:t>
      </w:r>
      <w:r>
        <w:t xml:space="preserve"> </w:t>
      </w:r>
      <w:r>
        <w:rPr>
          <w:b/>
          <w:bCs/>
        </w:rPr>
        <w:t xml:space="preserve">$80.99</w:t>
      </w:r>
      <w:r>
        <w:t xml:space="preserve">, REG traded at approximately:</w:t>
      </w:r>
    </w:p>
    <w:p>
      <w:pPr>
        <w:pStyle w:val="Compact"/>
        <w:numPr>
          <w:ilvl w:val="0"/>
          <w:numId w:val="1013"/>
        </w:numPr>
      </w:pPr>
      <w:r>
        <w:rPr>
          <w:b/>
          <w:bCs/>
        </w:rPr>
        <w:t xml:space="preserve">16.7x</w:t>
      </w:r>
      <w:r>
        <w:t xml:space="preserve"> </w:t>
      </w:r>
      <w:r>
        <w:t xml:space="preserve">the midpoint of 2026 FFO guidance</w:t>
      </w:r>
    </w:p>
    <w:p>
      <w:pPr>
        <w:pStyle w:val="Compact"/>
        <w:numPr>
          <w:ilvl w:val="0"/>
          <w:numId w:val="1013"/>
        </w:numPr>
      </w:pPr>
      <w:r>
        <w:t xml:space="preserve">A roughly</w:t>
      </w:r>
      <w:r>
        <w:t xml:space="preserve"> </w:t>
      </w:r>
      <w:r>
        <w:rPr>
          <w:b/>
          <w:bCs/>
        </w:rPr>
        <w:t xml:space="preserve">3.7% dividend yield</w:t>
      </w:r>
      <w:r>
        <w:t xml:space="preserve">, based on the current $0.755 quarterly dividend</w:t>
      </w:r>
    </w:p>
    <w:p>
      <w:pPr>
        <w:pStyle w:val="Compact"/>
        <w:numPr>
          <w:ilvl w:val="0"/>
          <w:numId w:val="1013"/>
        </w:numPr>
      </w:pPr>
      <w:r>
        <w:t xml:space="preserve">About</w:t>
      </w:r>
      <w:r>
        <w:t xml:space="preserve"> </w:t>
      </w:r>
      <w:r>
        <w:rPr>
          <w:b/>
          <w:bCs/>
        </w:rPr>
        <w:t xml:space="preserve">17% above</w:t>
      </w:r>
      <w:r>
        <w:t xml:space="preserve"> </w:t>
      </w:r>
      <w:r>
        <w:t xml:space="preserve">its December 31, 2025 closing price</w:t>
      </w:r>
    </w:p>
    <w:p>
      <w:pPr>
        <w:pStyle w:val="FirstParagraph"/>
      </w:pPr>
      <w:r>
        <w:t xml:space="preserve">That valuation is not extreme for a high-quality grocery-anchored REIT, but it leaves less room for an uneventful quarter. The market already recognizes Regency’s portfolio quality and development capabilities.</w:t>
      </w:r>
    </w:p>
    <w:p>
      <w:pPr>
        <w:pStyle w:val="BodyText"/>
      </w:pPr>
      <w:r>
        <w:t xml:space="preserve">One warning from Q1: despite a strong operating report, REG fell from $79.38 on April 29 to $77.85 on April 30. That illustrates the risk of a high expectations bar.</w:t>
      </w:r>
    </w:p>
    <w:p>
      <w:r>
        <w:pict>
          <v:rect style="width:0;height:1.5pt" o:hralign="center" o:hrstd="t" o:hr="t"/>
        </w:pict>
      </w:r>
    </w:p>
    <w:bookmarkEnd w:id="20"/>
    <w:bookmarkStart w:id="24" w:name="potential-outcomes"/>
    <w:p>
      <w:pPr>
        <w:pStyle w:val="Heading2"/>
      </w:pPr>
      <w:r>
        <w:t xml:space="preserve">Potential outcomes</w:t>
      </w:r>
    </w:p>
    <w:bookmarkStart w:id="21" w:name="bull-case"/>
    <w:p>
      <w:pPr>
        <w:pStyle w:val="Heading3"/>
      </w:pPr>
      <w:r>
        <w:t xml:space="preserve">Bull case</w:t>
      </w:r>
    </w:p>
    <w:p>
      <w:pPr>
        <w:pStyle w:val="Compact"/>
        <w:numPr>
          <w:ilvl w:val="0"/>
          <w:numId w:val="1014"/>
        </w:numPr>
      </w:pPr>
      <w:r>
        <w:t xml:space="preserve">FFO and core earnings comfortably exceed the prior-year levels.</w:t>
      </w:r>
    </w:p>
    <w:p>
      <w:pPr>
        <w:pStyle w:val="Compact"/>
        <w:numPr>
          <w:ilvl w:val="0"/>
          <w:numId w:val="1014"/>
        </w:numPr>
      </w:pPr>
      <w:r>
        <w:t xml:space="preserve">Management raises at least one full-year earnings range.</w:t>
      </w:r>
    </w:p>
    <w:p>
      <w:pPr>
        <w:pStyle w:val="Compact"/>
        <w:numPr>
          <w:ilvl w:val="0"/>
          <w:numId w:val="1014"/>
        </w:numPr>
      </w:pPr>
      <w:r>
        <w:t xml:space="preserve">Same-property NOI is soft only because of the known comparison.</w:t>
      </w:r>
    </w:p>
    <w:p>
      <w:pPr>
        <w:pStyle w:val="Compact"/>
        <w:numPr>
          <w:ilvl w:val="0"/>
          <w:numId w:val="1014"/>
        </w:numPr>
      </w:pPr>
      <w:r>
        <w:t xml:space="preserve">Base-rent growth remains around the mid-3% area or better.</w:t>
      </w:r>
    </w:p>
    <w:p>
      <w:pPr>
        <w:pStyle w:val="Compact"/>
        <w:numPr>
          <w:ilvl w:val="0"/>
          <w:numId w:val="1014"/>
        </w:numPr>
      </w:pPr>
      <w:r>
        <w:t xml:space="preserve">Commenced occupancy rises and the signed-not-open pipeline remains near or above $42 million.</w:t>
      </w:r>
    </w:p>
    <w:p>
      <w:pPr>
        <w:pStyle w:val="Compact"/>
        <w:numPr>
          <w:ilvl w:val="0"/>
          <w:numId w:val="1014"/>
        </w:numPr>
      </w:pPr>
      <w:r>
        <w:t xml:space="preserve">Cash leasing spreads remain double digit.</w:t>
      </w:r>
    </w:p>
    <w:p>
      <w:pPr>
        <w:pStyle w:val="Compact"/>
        <w:numPr>
          <w:ilvl w:val="0"/>
          <w:numId w:val="1014"/>
        </w:numPr>
      </w:pPr>
      <w:r>
        <w:t xml:space="preserve">Development starts increase while projected returns hold.</w:t>
      </w:r>
    </w:p>
    <w:p>
      <w:pPr>
        <w:pStyle w:val="Compact"/>
        <w:numPr>
          <w:ilvl w:val="0"/>
          <w:numId w:val="1014"/>
        </w:numPr>
      </w:pPr>
      <w:r>
        <w:t xml:space="preserve">Tenant credit remains benign.</w:t>
      </w:r>
    </w:p>
    <w:p>
      <w:pPr>
        <w:pStyle w:val="FirstParagraph"/>
      </w:pPr>
      <w:r>
        <w:rPr>
          <w:b/>
          <w:bCs/>
        </w:rPr>
        <w:t xml:space="preserve">Likely interpretation:</w:t>
      </w:r>
      <w:r>
        <w:t xml:space="preserve"> </w:t>
      </w:r>
      <w:r>
        <w:t xml:space="preserve">Regency is sustaining above-average internal growth while layering on an increasingly valuable development pipeline.</w:t>
      </w:r>
    </w:p>
    <w:bookmarkEnd w:id="21"/>
    <w:bookmarkStart w:id="22" w:name="base-case"/>
    <w:p>
      <w:pPr>
        <w:pStyle w:val="Heading3"/>
      </w:pPr>
      <w:r>
        <w:t xml:space="preserve">Base case</w:t>
      </w:r>
    </w:p>
    <w:p>
      <w:pPr>
        <w:pStyle w:val="Compact"/>
        <w:numPr>
          <w:ilvl w:val="0"/>
          <w:numId w:val="1015"/>
        </w:numPr>
      </w:pPr>
      <w:r>
        <w:t xml:space="preserve">Q2 NOI falls below the annual guidance range as forecast.</w:t>
      </w:r>
    </w:p>
    <w:p>
      <w:pPr>
        <w:pStyle w:val="Compact"/>
        <w:numPr>
          <w:ilvl w:val="0"/>
          <w:numId w:val="1015"/>
        </w:numPr>
      </w:pPr>
      <w:r>
        <w:t xml:space="preserve">FFO and core earnings show moderate year-over-year growth.</w:t>
      </w:r>
    </w:p>
    <w:p>
      <w:pPr>
        <w:pStyle w:val="Compact"/>
        <w:numPr>
          <w:ilvl w:val="0"/>
          <w:numId w:val="1015"/>
        </w:numPr>
      </w:pPr>
      <w:r>
        <w:t xml:space="preserve">Occupancy and leasing metrics remain strong.</w:t>
      </w:r>
    </w:p>
    <w:p>
      <w:pPr>
        <w:pStyle w:val="Compact"/>
        <w:numPr>
          <w:ilvl w:val="0"/>
          <w:numId w:val="1015"/>
        </w:numPr>
      </w:pPr>
      <w:r>
        <w:t xml:space="preserve">Full-year guidance is reiterated.</w:t>
      </w:r>
    </w:p>
    <w:p>
      <w:pPr>
        <w:pStyle w:val="Compact"/>
        <w:numPr>
          <w:ilvl w:val="0"/>
          <w:numId w:val="1015"/>
        </w:numPr>
      </w:pPr>
      <w:r>
        <w:t xml:space="preserve">No meaningful change in development timing or tenant health.</w:t>
      </w:r>
    </w:p>
    <w:p>
      <w:pPr>
        <w:pStyle w:val="FirstParagraph"/>
      </w:pPr>
      <w:r>
        <w:rPr>
          <w:b/>
          <w:bCs/>
        </w:rPr>
        <w:t xml:space="preserve">Likely interpretation:</w:t>
      </w:r>
      <w:r>
        <w:t xml:space="preserve"> </w:t>
      </w:r>
      <w:r>
        <w:t xml:space="preserve">Fundamentally sound, but largely anticipated. The stock response could be muted given its year-to-date appreciation.</w:t>
      </w:r>
    </w:p>
    <w:bookmarkEnd w:id="22"/>
    <w:bookmarkStart w:id="23" w:name="bear-case"/>
    <w:p>
      <w:pPr>
        <w:pStyle w:val="Heading3"/>
      </w:pPr>
      <w:r>
        <w:t xml:space="preserve">Bear case</w:t>
      </w:r>
    </w:p>
    <w:p>
      <w:pPr>
        <w:pStyle w:val="Compact"/>
        <w:numPr>
          <w:ilvl w:val="0"/>
          <w:numId w:val="1016"/>
        </w:numPr>
      </w:pPr>
      <w:r>
        <w:t xml:space="preserve">Base-rent growth slows—not merely the reported NOI percentage.</w:t>
      </w:r>
    </w:p>
    <w:p>
      <w:pPr>
        <w:pStyle w:val="Compact"/>
        <w:numPr>
          <w:ilvl w:val="0"/>
          <w:numId w:val="1016"/>
        </w:numPr>
      </w:pPr>
      <w:r>
        <w:t xml:space="preserve">Commenced occupancy fails to improve or tenant openings are delayed.</w:t>
      </w:r>
    </w:p>
    <w:p>
      <w:pPr>
        <w:pStyle w:val="Compact"/>
        <w:numPr>
          <w:ilvl w:val="0"/>
          <w:numId w:val="1016"/>
        </w:numPr>
      </w:pPr>
      <w:r>
        <w:t xml:space="preserve">Leasing spreads fall materially.</w:t>
      </w:r>
    </w:p>
    <w:p>
      <w:pPr>
        <w:pStyle w:val="Compact"/>
        <w:numPr>
          <w:ilvl w:val="0"/>
          <w:numId w:val="1016"/>
        </w:numPr>
      </w:pPr>
      <w:r>
        <w:t xml:space="preserve">Bad debt, cash-basis tenants or bankruptcies increase.</w:t>
      </w:r>
    </w:p>
    <w:p>
      <w:pPr>
        <w:pStyle w:val="Compact"/>
        <w:numPr>
          <w:ilvl w:val="0"/>
          <w:numId w:val="1016"/>
        </w:numPr>
      </w:pPr>
      <w:r>
        <w:t xml:space="preserve">Development costs rise or starts slip.</w:t>
      </w:r>
    </w:p>
    <w:p>
      <w:pPr>
        <w:pStyle w:val="Compact"/>
        <w:numPr>
          <w:ilvl w:val="0"/>
          <w:numId w:val="1016"/>
        </w:numPr>
      </w:pPr>
      <w:r>
        <w:t xml:space="preserve">Management lowers guidance or signals that the low end is more likely.</w:t>
      </w:r>
    </w:p>
    <w:p>
      <w:pPr>
        <w:pStyle w:val="Compact"/>
        <w:numPr>
          <w:ilvl w:val="0"/>
          <w:numId w:val="1016"/>
        </w:numPr>
      </w:pPr>
      <w:r>
        <w:t xml:space="preserve">Equity issuance becomes necessary despite prior balance-sheet assurances.</w:t>
      </w:r>
    </w:p>
    <w:p>
      <w:pPr>
        <w:pStyle w:val="FirstParagraph"/>
      </w:pPr>
      <w:r>
        <w:rPr>
          <w:b/>
          <w:bCs/>
        </w:rPr>
        <w:t xml:space="preserve">Likely interpretation:</w:t>
      </w:r>
      <w:r>
        <w:t xml:space="preserve"> </w:t>
      </w:r>
      <w:r>
        <w:t xml:space="preserve">The expected Q2 comparison problem is masking a genuine deterioration in growth, challenging REG’s premium valuation.</w:t>
      </w:r>
    </w:p>
    <w:p>
      <w:r>
        <w:pict>
          <v:rect style="width:0;height:1.5pt" o:hralign="center" o:hrstd="t" o:hr="t"/>
        </w:pict>
      </w:r>
    </w:p>
    <w:bookmarkEnd w:id="23"/>
    <w:bookmarkEnd w:id="24"/>
    <w:bookmarkStart w:id="25" w:name="questions-for-the-call"/>
    <w:p>
      <w:pPr>
        <w:pStyle w:val="Heading2"/>
      </w:pPr>
      <w:r>
        <w:t xml:space="preserve">Questions for the call</w:t>
      </w:r>
    </w:p>
    <w:p>
      <w:pPr>
        <w:pStyle w:val="Compact"/>
        <w:numPr>
          <w:ilvl w:val="0"/>
          <w:numId w:val="1017"/>
        </w:numPr>
      </w:pPr>
      <w:r>
        <w:t xml:space="preserve">How much of Q2 same-property NOI performance was attributable to the expense-reconciliation comparison versus current operating trends?</w:t>
      </w:r>
    </w:p>
    <w:p>
      <w:pPr>
        <w:pStyle w:val="Compact"/>
        <w:numPr>
          <w:ilvl w:val="0"/>
          <w:numId w:val="1017"/>
        </w:numPr>
      </w:pPr>
      <w:r>
        <w:t xml:space="preserve">What is the updated annual base rent represented by the signed-not-open pipeline?</w:t>
      </w:r>
    </w:p>
    <w:p>
      <w:pPr>
        <w:pStyle w:val="Compact"/>
        <w:numPr>
          <w:ilvl w:val="0"/>
          <w:numId w:val="1017"/>
        </w:numPr>
      </w:pPr>
      <w:r>
        <w:t xml:space="preserve">How much signed-not-open rent is expected to commence in the second half?</w:t>
      </w:r>
    </w:p>
    <w:p>
      <w:pPr>
        <w:pStyle w:val="Compact"/>
        <w:numPr>
          <w:ilvl w:val="0"/>
          <w:numId w:val="1017"/>
        </w:numPr>
      </w:pPr>
      <w:r>
        <w:t xml:space="preserve">Is commenced occupancy still expected to approach or exceed previous peak levels?</w:t>
      </w:r>
    </w:p>
    <w:p>
      <w:pPr>
        <w:pStyle w:val="Compact"/>
        <w:numPr>
          <w:ilvl w:val="0"/>
          <w:numId w:val="1017"/>
        </w:numPr>
      </w:pPr>
      <w:r>
        <w:t xml:space="preserve">Have tenant sales, collections or foot traffic weakened since the June investor conference?</w:t>
      </w:r>
    </w:p>
    <w:p>
      <w:pPr>
        <w:pStyle w:val="Compact"/>
        <w:numPr>
          <w:ilvl w:val="0"/>
          <w:numId w:val="1017"/>
        </w:numPr>
      </w:pPr>
      <w:r>
        <w:t xml:space="preserve">Were any additional tenants moved to cash-basis accounting?</w:t>
      </w:r>
    </w:p>
    <w:p>
      <w:pPr>
        <w:pStyle w:val="Compact"/>
        <w:numPr>
          <w:ilvl w:val="0"/>
          <w:numId w:val="1017"/>
        </w:numPr>
      </w:pPr>
      <w:r>
        <w:t xml:space="preserve">How are development costs and projected yields changing?</w:t>
      </w:r>
    </w:p>
    <w:p>
      <w:pPr>
        <w:pStyle w:val="Compact"/>
        <w:numPr>
          <w:ilvl w:val="0"/>
          <w:numId w:val="1017"/>
        </w:numPr>
      </w:pPr>
      <w:r>
        <w:t xml:space="preserve">Which expected 2026 project starts are most at risk of moving into 2027?</w:t>
      </w:r>
    </w:p>
    <w:p>
      <w:pPr>
        <w:pStyle w:val="Compact"/>
        <w:numPr>
          <w:ilvl w:val="0"/>
          <w:numId w:val="1017"/>
        </w:numPr>
      </w:pPr>
      <w:r>
        <w:t xml:space="preserve">What would cause Regency to issue equity given its current liquidity and free cash flow?</w:t>
      </w:r>
    </w:p>
    <w:p>
      <w:pPr>
        <w:pStyle w:val="Compact"/>
        <w:numPr>
          <w:ilvl w:val="0"/>
          <w:numId w:val="1017"/>
        </w:numPr>
      </w:pPr>
      <w:r>
        <w:t xml:space="preserve">Is management now positioned to raise guidance, or are there offsets that prevent an increase?</w:t>
      </w:r>
    </w:p>
    <w:bookmarkEnd w:id="25"/>
    <w:bookmarkStart w:id="26" w:name="bottom-line"/>
    <w:p>
      <w:pPr>
        <w:pStyle w:val="Heading2"/>
      </w:pPr>
      <w:r>
        <w:t xml:space="preserve">Bottom line</w:t>
      </w:r>
    </w:p>
    <w:p>
      <w:pPr>
        <w:pStyle w:val="FirstParagraph"/>
      </w:pPr>
      <w:r>
        <w:t xml:space="preserve">The Q2 preview is less about whether Regency posts an eye-catching same-property NOI number and more about whether the</w:t>
      </w:r>
      <w:r>
        <w:t xml:space="preserve"> </w:t>
      </w:r>
      <w:r>
        <w:rPr>
          <w:b/>
          <w:bCs/>
        </w:rPr>
        <w:t xml:space="preserve">underlying growth engine remains intact</w:t>
      </w:r>
      <w:r>
        <w:t xml:space="preserve">.</w:t>
      </w:r>
    </w:p>
    <w:p>
      <w:pPr>
        <w:pStyle w:val="BodyText"/>
      </w:pPr>
      <w:r>
        <w:t xml:space="preserve">The key evidence would be healthy base rents, continued conversion of signed leases into commenced occupancy, double-digit leasing spreads, stable tenant credit and an expanding development pipeline with unchanged returns. If those metrics hold, an expected Q2 NOI deceleration should be viewed primarily as a comparison issue.</w:t>
      </w:r>
    </w:p>
    <w:p>
      <w:pPr>
        <w:pStyle w:val="BodyText"/>
      </w:pPr>
      <w:r>
        <w:t xml:space="preserve">The risk is expectations: at roughly 16.7x full-year FFO guidance after a strong year-to-date stock move, REG probably needs either a guidance increase or clearly improving forward indicators to produce meaningful post-earnings upside.</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regencycenters.com/news-releases/news-release-details/regency-centers-invites-you-join-its-second-quarter-2026?utm_source=openai" TargetMode="External" /><Relationship Type="http://schemas.openxmlformats.org/officeDocument/2006/relationships/hyperlink" Id="rId11" Target="https://regencycenters.gcs-web.com/news-releases/news-release-details/regency-centers-reports-first-quarter-2026-results?utm_source=openai" TargetMode="External" /><Relationship Type="http://schemas.openxmlformats.org/officeDocument/2006/relationships/hyperlink" Id="rId12" Target="https://www.sec.gov/Archives/edgar/data/1066247/000095017025099707/reg-ex99_1.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regencycenters.com/news-releases/news-release-details/regency-centers-invites-you-join-its-second-quarter-2026?utm_source=openai" TargetMode="External" /><Relationship Type="http://schemas.openxmlformats.org/officeDocument/2006/relationships/hyperlink" Id="rId11" Target="https://regencycenters.gcs-web.com/news-releases/news-release-details/regency-centers-reports-first-quarter-2026-results?utm_source=openai" TargetMode="External" /><Relationship Type="http://schemas.openxmlformats.org/officeDocument/2006/relationships/hyperlink" Id="rId12" Target="https://www.sec.gov/Archives/edgar/data/1066247/000095017025099707/reg-ex99_1.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2026-07-29T02:11:28Z</dcterms:created>
  <dcterms:modified xsi:type="dcterms:W3CDTF">2026-07-29T02:11:28Z</dcterms:modified>
</cp:coreProperties>
</file>

<file path=docProps/custom.xml><?xml version="1.0" encoding="utf-8"?>
<Properties xmlns="http://schemas.openxmlformats.org/officeDocument/2006/custom-properties" xmlns:vt="http://schemas.openxmlformats.org/officeDocument/2006/docPropsVTypes"/>
</file>