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1990707fa5d69746bb8cc0d8656540428aac318"/>
    <w:p>
      <w:pPr>
        <w:pStyle w:val="Heading1"/>
      </w:pPr>
      <w:r>
        <w:t xml:space="preserve">Regency Centers (NASDAQ: REG) — 2Q26 Earnings Preview</w:t>
      </w:r>
    </w:p>
    <w:p>
      <w:pPr>
        <w:pStyle w:val="BlockText"/>
      </w:pPr>
      <w:r>
        <w:rPr>
          <w:b/>
          <w:bCs/>
        </w:rPr>
        <w:t xml:space="preserve">Timing note:</w:t>
      </w:r>
      <w:r>
        <w:t xml:space="preserve"> </w:t>
      </w:r>
      <w:r>
        <w:t xml:space="preserve">The scheduled</w:t>
      </w:r>
      <w:r>
        <w:t xml:space="preserve"> </w:t>
      </w:r>
      <w:r>
        <w:rPr>
          <w:b/>
          <w:bCs/>
        </w:rPr>
        <w:t xml:space="preserve">2026Q2 earnings event is today, Wednesday, July 29, 2026</w:t>
      </w:r>
      <w:r>
        <w:t xml:space="preserve">, not tomorrow.</w:t>
      </w:r>
    </w:p>
    <w:bookmarkStart w:id="9" w:name="X3cee28ec7a8087d0b58bd371d7b78ff6f5772c3"/>
    <w:p>
      <w:pPr>
        <w:pStyle w:val="Heading2"/>
      </w:pPr>
      <w:r>
        <w:t xml:space="preserve">Investment view: the quarter is more about validating the full-year setup than producing a headline beat</w:t>
      </w:r>
    </w:p>
    <w:p>
      <w:pPr>
        <w:pStyle w:val="FirstParagraph"/>
      </w:pPr>
      <w:r>
        <w:t xml:space="preserve">Regency enters 2Q26 with strong operating momentum, a highly occupied grocery-anchored portfolio, and a development pipeline that should increasingly contribute to total NOI growth. The complication is that management explicitly framed</w:t>
      </w:r>
      <w:r>
        <w:t xml:space="preserve"> </w:t>
      </w:r>
      <w:r>
        <w:rPr>
          <w:b/>
          <w:bCs/>
        </w:rPr>
        <w:t xml:space="preserve">2Q as a tougher same-property NOI comparison</w:t>
      </w:r>
      <w:r>
        <w:t xml:space="preserve"> </w:t>
      </w:r>
      <w:r>
        <w:t xml:space="preserve">than 1Q, principally because 2Q25 benefited from favorable expense-reconciliation activity. As a result, investors should focus less on a mechanical year-over-year deceleration and more on whether the underlying drivers—base-rent growth, leasing spreads, commencement, tenant health, and development execution—remain intact.</w:t>
      </w:r>
    </w:p>
    <w:p>
      <w:pPr>
        <w:pStyle w:val="BodyText"/>
      </w:pPr>
      <w:r>
        <w:t xml:space="preserve">The stock closed at</w:t>
      </w:r>
      <w:r>
        <w:t xml:space="preserve"> </w:t>
      </w:r>
      <w:r>
        <w:rPr>
          <w:b/>
          <w:bCs/>
        </w:rPr>
        <w:t xml:space="preserve">$80.99 on July 28</w:t>
      </w:r>
      <w:r>
        <w:t xml:space="preserve">, up roughly</w:t>
      </w:r>
      <w:r>
        <w:t xml:space="preserve"> </w:t>
      </w:r>
      <w:r>
        <w:rPr>
          <w:b/>
          <w:bCs/>
        </w:rPr>
        <w:t xml:space="preserve">17% from $69.03 at year-end 2025</w:t>
      </w:r>
      <w:r>
        <w:t xml:space="preserve">. That appreciation raises the bar: maintaining guidance may be sufficient for a solid result, but upside will likely require evidence that Regency can sustain sector-leading internal growth while converting its sizable development pipeline into incremental NOI without pressuring leverage.</w:t>
      </w:r>
    </w:p>
    <w:bookmarkEnd w:id="9"/>
    <w:bookmarkStart w:id="10" w:name="what-matters-most-this-quarter"/>
    <w:p>
      <w:pPr>
        <w:pStyle w:val="Heading2"/>
      </w:pPr>
      <w:r>
        <w:t xml:space="preserve">What matters most this quarter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 / topic</w:t>
            </w:r>
          </w:p>
        </w:tc>
        <w:tc>
          <w:tcPr/>
          <w:p>
            <w:pPr>
              <w:pStyle w:val="Compact"/>
            </w:pPr>
            <w:r>
              <w:t xml:space="preserve">Why it matters</w:t>
            </w:r>
          </w:p>
        </w:tc>
        <w:tc>
          <w:tcPr/>
          <w:p>
            <w:pPr>
              <w:pStyle w:val="Compact"/>
              <w:jc w:val="right"/>
            </w:pPr>
            <w:r>
              <w:t xml:space="preserve">1Q26 reference point</w:t>
            </w:r>
          </w:p>
        </w:tc>
      </w:tr>
      <w:tr>
        <w:tc>
          <w:tcPr/>
          <w:p>
            <w:pPr>
              <w:pStyle w:val="Compact"/>
            </w:pPr>
            <w:r>
              <w:rPr>
                <w:b/>
                <w:bCs/>
              </w:rPr>
              <w:t xml:space="preserve">Core Operating Earnings / FFO per share</w:t>
            </w:r>
          </w:p>
        </w:tc>
        <w:tc>
          <w:tcPr/>
          <w:p>
            <w:pPr>
              <w:pStyle w:val="Compact"/>
            </w:pPr>
            <w:r>
              <w:t xml:space="preserve">Primary earnings measures for a REIT; watch results versus the full-year outlook rather than GAAP EPS alone.</w:t>
            </w:r>
          </w:p>
        </w:tc>
        <w:tc>
          <w:tcPr/>
          <w:p>
            <w:pPr>
              <w:pStyle w:val="Compact"/>
              <w:jc w:val="right"/>
            </w:pPr>
            <w:r>
              <w:t xml:space="preserve">Core Operating Earnings:</w:t>
            </w:r>
            <w:r>
              <w:t xml:space="preserve"> </w:t>
            </w:r>
            <m:oMath>
              <m:r>
                <m:t>1.16</m:t>
              </m:r>
              <m:r>
                <m:rPr>
                  <m:sty m:val="p"/>
                </m:rPr>
                <m:t>*</m:t>
              </m:r>
              <m:r>
                <m:rPr>
                  <m:sty m:val="p"/>
                </m:rPr>
                <m:t>*</m:t>
              </m:r>
              <m:r>
                <m:rPr>
                  <m:sty m:val="p"/>
                </m:rPr>
                <m:t>;</m:t>
              </m:r>
              <m:r>
                <m:t>N</m:t>
              </m:r>
              <m:r>
                <m:t>a</m:t>
              </m:r>
              <m:r>
                <m:t>r</m:t>
              </m:r>
              <m:r>
                <m:t>e</m:t>
              </m:r>
              <m:r>
                <m:t>i</m:t>
              </m:r>
              <m:r>
                <m:t>t</m:t>
              </m:r>
              <m:r>
                <m:t>F</m:t>
              </m:r>
              <m:r>
                <m:t>F</m:t>
              </m:r>
              <m:r>
                <m:t>O</m:t>
              </m:r>
              <m:r>
                <m:rPr>
                  <m:sty m:val="p"/>
                </m:rPr>
                <m:t>:</m:t>
              </m:r>
              <m:r>
                <m:rPr>
                  <m:sty m:val="p"/>
                </m:rPr>
                <m:t>*</m:t>
              </m:r>
              <m:r>
                <m:rPr>
                  <m:sty m:val="p"/>
                </m:rPr>
                <m:t>*</m:t>
              </m:r>
            </m:oMath>
            <w:r>
              <w:rPr>
                <w:b/>
                <w:bCs/>
              </w:rPr>
              <w:t xml:space="preserve">1.20</w:t>
            </w:r>
          </w:p>
        </w:tc>
      </w:tr>
      <w:tr>
        <w:tc>
          <w:tcPr/>
          <w:p>
            <w:pPr>
              <w:pStyle w:val="Compact"/>
            </w:pPr>
            <w:r>
              <w:rPr>
                <w:b/>
                <w:bCs/>
              </w:rPr>
              <w:t xml:space="preserve">Same-property NOI growth</w:t>
            </w:r>
          </w:p>
        </w:tc>
        <w:tc>
          <w:tcPr/>
          <w:p>
            <w:pPr>
              <w:pStyle w:val="Compact"/>
            </w:pPr>
            <w:r>
              <w:t xml:space="preserve">The central proof point for embedded rent growth and operating leverage.</w:t>
            </w:r>
          </w:p>
        </w:tc>
        <w:tc>
          <w:tcPr/>
          <w:p>
            <w:pPr>
              <w:pStyle w:val="Compact"/>
              <w:jc w:val="right"/>
            </w:pPr>
            <w:r>
              <w:rPr>
                <w:b/>
                <w:bCs/>
              </w:rPr>
              <w:t xml:space="preserve">+4.4%</w:t>
            </w:r>
          </w:p>
        </w:tc>
      </w:tr>
      <w:tr>
        <w:tc>
          <w:tcPr/>
          <w:p>
            <w:pPr>
              <w:pStyle w:val="Compact"/>
            </w:pPr>
            <w:r>
              <w:rPr>
                <w:b/>
                <w:bCs/>
              </w:rPr>
              <w:t xml:space="preserve">Base-rent growth and recovery rates</w:t>
            </w:r>
          </w:p>
        </w:tc>
        <w:tc>
          <w:tcPr/>
          <w:p>
            <w:pPr>
              <w:pStyle w:val="Compact"/>
            </w:pPr>
            <w:r>
              <w:t xml:space="preserve">Determines whether NOI growth is coming from durable leasing economics rather than one-offs.</w:t>
            </w:r>
          </w:p>
        </w:tc>
        <w:tc>
          <w:tcPr/>
          <w:p>
            <w:pPr>
              <w:pStyle w:val="Compact"/>
              <w:jc w:val="right"/>
            </w:pPr>
            <w:r>
              <w:t xml:space="preserve">Base rent contributed</w:t>
            </w:r>
            <w:r>
              <w:t xml:space="preserve"> </w:t>
            </w:r>
            <w:r>
              <w:rPr>
                <w:b/>
                <w:bCs/>
              </w:rPr>
              <w:t xml:space="preserve">3.6%</w:t>
            </w:r>
            <w:r>
              <w:t xml:space="preserve"> </w:t>
            </w:r>
            <w:r>
              <w:t xml:space="preserve">to same-property NOI growth</w:t>
            </w:r>
          </w:p>
        </w:tc>
      </w:tr>
      <w:tr>
        <w:tc>
          <w:tcPr/>
          <w:p>
            <w:pPr>
              <w:pStyle w:val="Compact"/>
            </w:pPr>
            <w:r>
              <w:rPr>
                <w:b/>
                <w:bCs/>
              </w:rPr>
              <w:t xml:space="preserve">Leased vs. commenced occupancy</w:t>
            </w:r>
          </w:p>
        </w:tc>
        <w:tc>
          <w:tcPr/>
          <w:p>
            <w:pPr>
              <w:pStyle w:val="Compact"/>
            </w:pPr>
            <w:r>
              <w:t xml:space="preserve">The gap represents future rent commencement and a potential NOI tailwind.</w:t>
            </w:r>
          </w:p>
        </w:tc>
        <w:tc>
          <w:tcPr/>
          <w:p>
            <w:pPr>
              <w:pStyle w:val="Compact"/>
              <w:jc w:val="right"/>
            </w:pPr>
            <w:r>
              <w:rPr>
                <w:b/>
                <w:bCs/>
              </w:rPr>
              <w:t xml:space="preserve">96.6% leased</w:t>
            </w:r>
            <w:r>
              <w:t xml:space="preserve">,</w:t>
            </w:r>
            <w:r>
              <w:t xml:space="preserve"> </w:t>
            </w:r>
            <w:r>
              <w:rPr>
                <w:b/>
                <w:bCs/>
              </w:rPr>
              <w:t xml:space="preserve">94.3% commenced</w:t>
            </w:r>
          </w:p>
        </w:tc>
      </w:tr>
      <w:tr>
        <w:tc>
          <w:tcPr/>
          <w:p>
            <w:pPr>
              <w:pStyle w:val="Compact"/>
            </w:pPr>
            <w:r>
              <w:rPr>
                <w:b/>
                <w:bCs/>
              </w:rPr>
              <w:t xml:space="preserve">Cash leasing spreads</w:t>
            </w:r>
          </w:p>
        </w:tc>
        <w:tc>
          <w:tcPr/>
          <w:p>
            <w:pPr>
              <w:pStyle w:val="Compact"/>
            </w:pPr>
            <w:r>
              <w:t xml:space="preserve">Measures mark-to-market opportunity and pricing power.</w:t>
            </w:r>
          </w:p>
        </w:tc>
        <w:tc>
          <w:tcPr/>
          <w:p>
            <w:pPr>
              <w:pStyle w:val="Compact"/>
              <w:jc w:val="right"/>
            </w:pPr>
            <w:r>
              <w:rPr>
                <w:b/>
                <w:bCs/>
              </w:rPr>
              <w:t xml:space="preserve">+12.1%</w:t>
            </w:r>
            <w:r>
              <w:t xml:space="preserve"> </w:t>
            </w:r>
            <w:r>
              <w:t xml:space="preserve">blended cash spread</w:t>
            </w:r>
          </w:p>
        </w:tc>
      </w:tr>
      <w:tr>
        <w:tc>
          <w:tcPr/>
          <w:p>
            <w:pPr>
              <w:pStyle w:val="Compact"/>
            </w:pPr>
            <w:r>
              <w:rPr>
                <w:b/>
                <w:bCs/>
              </w:rPr>
              <w:t xml:space="preserve">Development/redevelopment progress</w:t>
            </w:r>
          </w:p>
        </w:tc>
        <w:tc>
          <w:tcPr/>
          <w:p>
            <w:pPr>
              <w:pStyle w:val="Compact"/>
            </w:pPr>
            <w:r>
              <w:t xml:space="preserve">External growth differentiator; deliveries should lift total NOI above same-property growth.</w:t>
            </w:r>
          </w:p>
        </w:tc>
        <w:tc>
          <w:tcPr/>
          <w:p>
            <w:pPr>
              <w:pStyle w:val="Compact"/>
              <w:jc w:val="right"/>
            </w:pPr>
            <w:r>
              <w:rPr>
                <w:b/>
                <w:bCs/>
              </w:rPr>
              <w:t xml:space="preserve">$635M</w:t>
            </w:r>
            <w:r>
              <w:t xml:space="preserve"> </w:t>
            </w:r>
            <w:r>
              <w:t xml:space="preserve">in-process pipeline at ~</w:t>
            </w:r>
            <w:r>
              <w:rPr>
                <w:b/>
                <w:bCs/>
              </w:rPr>
              <w:t xml:space="preserve">9%</w:t>
            </w:r>
            <w:r>
              <w:t xml:space="preserve"> </w:t>
            </w:r>
            <w:r>
              <w:t xml:space="preserve">blended estimated yield</w:t>
            </w:r>
          </w:p>
        </w:tc>
      </w:tr>
      <w:tr>
        <w:tc>
          <w:tcPr/>
          <w:p>
            <w:pPr>
              <w:pStyle w:val="Compact"/>
            </w:pPr>
            <w:r>
              <w:rPr>
                <w:b/>
                <w:bCs/>
              </w:rPr>
              <w:t xml:space="preserve">Bad debt / bankruptcies</w:t>
            </w:r>
          </w:p>
        </w:tc>
        <w:tc>
          <w:tcPr/>
          <w:p>
            <w:pPr>
              <w:pStyle w:val="Compact"/>
            </w:pPr>
            <w:r>
              <w:t xml:space="preserve">The most visible near-term tenant-credit risk.</w:t>
            </w:r>
          </w:p>
        </w:tc>
        <w:tc>
          <w:tcPr/>
          <w:p>
            <w:pPr>
              <w:pStyle w:val="Compact"/>
              <w:jc w:val="right"/>
            </w:pPr>
            <w:r>
              <w:t xml:space="preserve">Tenants in bankruptcy represented</w:t>
            </w:r>
            <w:r>
              <w:t xml:space="preserve"> </w:t>
            </w:r>
            <w:r>
              <w:rPr>
                <w:b/>
                <w:bCs/>
              </w:rPr>
              <w:t xml:space="preserve">0.4%</w:t>
            </w:r>
            <w:r>
              <w:t xml:space="preserve"> </w:t>
            </w:r>
            <w:r>
              <w:t xml:space="preserve">of pro-rata ABR</w:t>
            </w:r>
          </w:p>
        </w:tc>
      </w:tr>
      <w:tr>
        <w:tc>
          <w:tcPr/>
          <w:p>
            <w:pPr>
              <w:pStyle w:val="Compact"/>
            </w:pPr>
            <w:r>
              <w:rPr>
                <w:b/>
                <w:bCs/>
              </w:rPr>
              <w:t xml:space="preserve">Guidance and capital allocation</w:t>
            </w:r>
          </w:p>
        </w:tc>
        <w:tc>
          <w:tcPr/>
          <w:p>
            <w:pPr>
              <w:pStyle w:val="Compact"/>
            </w:pPr>
            <w:r>
              <w:t xml:space="preserve">Determines whether strong fundamentals translate into per-share growth.</w:t>
            </w:r>
          </w:p>
        </w:tc>
        <w:tc>
          <w:tcPr/>
          <w:p>
            <w:pPr>
              <w:pStyle w:val="Compact"/>
              <w:jc w:val="right"/>
            </w:pPr>
            <w:r>
              <w:t xml:space="preserve">2026 Core Operating Earnings guide:</w:t>
            </w:r>
            <w:r>
              <w:t xml:space="preserve"> </w:t>
            </w:r>
            <m:oMath>
              <m:r>
                <m:t>4.59</m:t>
              </m:r>
              <m:r>
                <m:rPr>
                  <m:sty m:val="p"/>
                </m:rPr>
                <m:t>–</m:t>
              </m:r>
            </m:oMath>
            <w:r>
              <w:rPr>
                <w:b/>
                <w:bCs/>
              </w:rPr>
              <w:t xml:space="preserve">4.63</w:t>
            </w:r>
          </w:p>
        </w:tc>
      </w:tr>
    </w:tbl>
    <w:bookmarkEnd w:id="10"/>
    <w:bookmarkStart w:id="12" w:name="Xc6a87dd9c5597036baa0beb0632031e0f4e5d81"/>
    <w:p>
      <w:pPr>
        <w:pStyle w:val="Heading2"/>
      </w:pPr>
      <w:r>
        <w:t xml:space="preserve">The key setup: a deliberately softer 2Q same-property NOI comparison</w:t>
      </w:r>
    </w:p>
    <w:p>
      <w:pPr>
        <w:pStyle w:val="FirstParagraph"/>
      </w:pPr>
      <w:r>
        <w:t xml:space="preserve">Management said on the 1Q call that 1Q NOI growth would be above the annual guidance range and that</w:t>
      </w:r>
      <w:r>
        <w:t xml:space="preserve"> </w:t>
      </w:r>
      <w:r>
        <w:rPr>
          <w:b/>
          <w:bCs/>
        </w:rPr>
        <w:t xml:space="preserve">2Q would fall below it</w:t>
      </w:r>
      <w:r>
        <w:t xml:space="preserve">, reflecting an unusually favorable expense-reconciliation comparison in the prior-year period. That statement is important context because Regency posted</w:t>
      </w:r>
      <w:r>
        <w:t xml:space="preserve"> </w:t>
      </w:r>
      <w:r>
        <w:rPr>
          <w:b/>
          <w:bCs/>
        </w:rPr>
        <w:t xml:space="preserve">7.4% same-property NOI growth excluding termination fees in 2Q25</w:t>
      </w:r>
      <w:r>
        <w:t xml:space="preserve">, including</w:t>
      </w:r>
      <w:r>
        <w:t xml:space="preserve"> </w:t>
      </w:r>
      <w:r>
        <w:rPr>
          <w:b/>
          <w:bCs/>
        </w:rPr>
        <w:t xml:space="preserve">4.5% base-rent growth</w:t>
      </w:r>
      <w:r>
        <w:t xml:space="preserve">.</w:t>
      </w:r>
    </w:p>
    <w:p>
      <w:pPr>
        <w:pStyle w:val="BodyText"/>
      </w:pPr>
      <w:r>
        <w:t xml:space="preserve">For 2026, Regency’s full-year same-property NOI growth guidance is</w:t>
      </w:r>
      <w:r>
        <w:t xml:space="preserve"> </w:t>
      </w:r>
      <w:r>
        <w:rPr>
          <w:b/>
          <w:bCs/>
        </w:rPr>
        <w:t xml:space="preserve">3.25%–3.75%</w:t>
      </w:r>
      <w:r>
        <w:t xml:space="preserve">. A lower 2Q growth rate versus the 2Q25 result is therefore not, by itself, a negative read-through. The higher-quality test is whether base-rent growth remains healthy and whether occupancy/commencement continue to progress.</w:t>
      </w:r>
    </w:p>
    <w:bookmarkStart w:id="11" w:name="Xed1452809d6569b41c1d1b9e6ce82e92759078b"/>
    <w:p>
      <w:pPr>
        <w:pStyle w:val="Heading3"/>
      </w:pPr>
      <w:r>
        <w:t xml:space="preserve">What would constitute a constructive operating print?</w:t>
      </w:r>
    </w:p>
    <w:p>
      <w:pPr>
        <w:pStyle w:val="Compact"/>
        <w:numPr>
          <w:ilvl w:val="0"/>
          <w:numId w:val="1001"/>
        </w:numPr>
      </w:pPr>
      <w:r>
        <w:rPr>
          <w:b/>
          <w:bCs/>
        </w:rPr>
        <w:t xml:space="preserve">Base-rent growth remains the principal NOI driver</w:t>
      </w:r>
      <w:r>
        <w:t xml:space="preserve">, supported by contractual steps, strong re-leasing spreads, commenced occupancy, and redevelopment completions.</w:t>
      </w:r>
    </w:p>
    <w:p>
      <w:pPr>
        <w:pStyle w:val="Compact"/>
        <w:numPr>
          <w:ilvl w:val="0"/>
          <w:numId w:val="1001"/>
        </w:numPr>
      </w:pPr>
      <w:r>
        <w:rPr>
          <w:b/>
          <w:bCs/>
        </w:rPr>
        <w:t xml:space="preserve">Leased occupancy holds near the mid-96% range or improves</w:t>
      </w:r>
      <w:r>
        <w:t xml:space="preserve">, particularly in anchor space.</w:t>
      </w:r>
    </w:p>
    <w:p>
      <w:pPr>
        <w:pStyle w:val="Compact"/>
        <w:numPr>
          <w:ilvl w:val="0"/>
          <w:numId w:val="1001"/>
        </w:numPr>
      </w:pPr>
      <w:r>
        <w:rPr>
          <w:b/>
          <w:bCs/>
        </w:rPr>
        <w:t xml:space="preserve">Commenced occupancy rises faster than leased occupancy</w:t>
      </w:r>
      <w:r>
        <w:t xml:space="preserve">, narrowing the 230-basis-point gap seen at the end of 1Q and translating signed leases into cash rent.</w:t>
      </w:r>
    </w:p>
    <w:p>
      <w:pPr>
        <w:pStyle w:val="Compact"/>
        <w:numPr>
          <w:ilvl w:val="0"/>
          <w:numId w:val="1001"/>
        </w:numPr>
      </w:pPr>
      <w:r>
        <w:t xml:space="preserve">Leasing spreads remain solidly positive, even if they normalize from the exceptional</w:t>
      </w:r>
      <w:r>
        <w:t xml:space="preserve"> </w:t>
      </w:r>
      <w:r>
        <w:rPr>
          <w:b/>
          <w:bCs/>
        </w:rPr>
        <w:t xml:space="preserve">12.1% cash spread</w:t>
      </w:r>
      <w:r>
        <w:t xml:space="preserve"> </w:t>
      </w:r>
      <w:r>
        <w:t xml:space="preserve">reported in 1Q.</w:t>
      </w:r>
    </w:p>
    <w:p>
      <w:pPr>
        <w:pStyle w:val="Compact"/>
        <w:numPr>
          <w:ilvl w:val="0"/>
          <w:numId w:val="1001"/>
        </w:numPr>
      </w:pPr>
      <w:r>
        <w:t xml:space="preserve">Management retains confidence that total NOI can grow</w:t>
      </w:r>
      <w:r>
        <w:t xml:space="preserve"> </w:t>
      </w:r>
      <w:r>
        <w:rPr>
          <w:b/>
          <w:bCs/>
        </w:rPr>
        <w:t xml:space="preserve">above 6%</w:t>
      </w:r>
      <w:r>
        <w:t xml:space="preserve"> </w:t>
      </w:r>
      <w:r>
        <w:t xml:space="preserve">for the year, as indicated in 1Q, aided by development deliveries and prior acquisitions.</w:t>
      </w:r>
    </w:p>
    <w:bookmarkEnd w:id="11"/>
    <w:bookmarkEnd w:id="12"/>
    <w:bookmarkStart w:id="13" w:name="X7d6f20cad28b2b1b3cc72814d8ae82db5a625e0"/>
    <w:p>
      <w:pPr>
        <w:pStyle w:val="Heading2"/>
      </w:pPr>
      <w:r>
        <w:t xml:space="preserve">Earnings: focus on Core Operating Earnings, not GAAP EPS</w:t>
      </w:r>
    </w:p>
    <w:p>
      <w:pPr>
        <w:pStyle w:val="FirstParagraph"/>
      </w:pPr>
      <w:r>
        <w:t xml:space="preserve">In 1Q26, Regency generated:</w:t>
      </w:r>
    </w:p>
    <w:p>
      <w:pPr>
        <w:pStyle w:val="Compact"/>
        <w:numPr>
          <w:ilvl w:val="0"/>
          <w:numId w:val="1002"/>
        </w:numPr>
      </w:pPr>
      <w:r>
        <w:rPr>
          <w:b/>
          <w:bCs/>
        </w:rPr>
        <w:t xml:space="preserve">Nareit FFO:</w:t>
      </w:r>
      <w:r>
        <w:t xml:space="preserve"> </w:t>
      </w:r>
      <w:r>
        <w:t xml:space="preserve">$1.20 per diluted share, up from $1.15 in 1Q25.</w:t>
      </w:r>
    </w:p>
    <w:p>
      <w:pPr>
        <w:pStyle w:val="Compact"/>
        <w:numPr>
          <w:ilvl w:val="0"/>
          <w:numId w:val="1002"/>
        </w:numPr>
      </w:pPr>
      <w:r>
        <w:rPr>
          <w:b/>
          <w:bCs/>
        </w:rPr>
        <w:t xml:space="preserve">Core Operating Earnings:</w:t>
      </w:r>
      <w:r>
        <w:t xml:space="preserve"> </w:t>
      </w:r>
      <w:r>
        <w:t xml:space="preserve">$1.16 per diluted share, up from $1.09.</w:t>
      </w:r>
    </w:p>
    <w:p>
      <w:pPr>
        <w:pStyle w:val="Compact"/>
        <w:numPr>
          <w:ilvl w:val="0"/>
          <w:numId w:val="1002"/>
        </w:numPr>
      </w:pPr>
      <w:r>
        <w:rPr>
          <w:b/>
          <w:bCs/>
        </w:rPr>
        <w:t xml:space="preserve">AFFO:</w:t>
      </w:r>
      <w:r>
        <w:t xml:space="preserve"> </w:t>
      </w:r>
      <w:r>
        <w:t xml:space="preserve">$197.5 million, up from $183.3 million.</w:t>
      </w:r>
    </w:p>
    <w:p>
      <w:pPr>
        <w:pStyle w:val="Compact"/>
        <w:numPr>
          <w:ilvl w:val="0"/>
          <w:numId w:val="1002"/>
        </w:numPr>
      </w:pPr>
      <w:r>
        <w:rPr>
          <w:b/>
          <w:bCs/>
        </w:rPr>
        <w:t xml:space="preserve">GAAP EPS:</w:t>
      </w:r>
      <w:r>
        <w:t xml:space="preserve"> </w:t>
      </w:r>
      <w:r>
        <w:t xml:space="preserve">$0.68, aided by real-estate-sale gains and partnership-related gains that are less relevant to recurring operating performance.</w:t>
      </w:r>
    </w:p>
    <w:p>
      <w:pPr>
        <w:pStyle w:val="FirstParagraph"/>
      </w:pPr>
      <w:r>
        <w:t xml:space="preserve">The 2026 full-year outlook remains:</w:t>
      </w:r>
    </w:p>
    <w:p>
      <w:pPr>
        <w:pStyle w:val="Compact"/>
        <w:numPr>
          <w:ilvl w:val="0"/>
          <w:numId w:val="1003"/>
        </w:numPr>
      </w:pPr>
      <w:r>
        <w:rPr>
          <w:b/>
          <w:bCs/>
        </w:rPr>
        <w:t xml:space="preserve">Nareit FFO:</w:t>
      </w:r>
      <w:r>
        <w:t xml:space="preserve"> </w:t>
      </w:r>
      <m:oMath>
        <m:r>
          <m:t>4.83</m:t>
        </m:r>
        <m:r>
          <m:rPr>
            <m:sty m:val="p"/>
          </m:rPr>
          <m:t>–</m:t>
        </m:r>
      </m:oMath>
      <w:r>
        <w:t xml:space="preserve">4.87 per share</w:t>
      </w:r>
    </w:p>
    <w:p>
      <w:pPr>
        <w:pStyle w:val="Compact"/>
        <w:numPr>
          <w:ilvl w:val="0"/>
          <w:numId w:val="1003"/>
        </w:numPr>
      </w:pPr>
      <w:r>
        <w:rPr>
          <w:b/>
          <w:bCs/>
        </w:rPr>
        <w:t xml:space="preserve">Core Operating Earnings:</w:t>
      </w:r>
      <w:r>
        <w:t xml:space="preserve"> </w:t>
      </w:r>
      <m:oMath>
        <m:r>
          <m:t>4.59</m:t>
        </m:r>
        <m:r>
          <m:rPr>
            <m:sty m:val="p"/>
          </m:rPr>
          <m:t>–</m:t>
        </m:r>
      </m:oMath>
      <w:r>
        <w:t xml:space="preserve">4.63 per share</w:t>
      </w:r>
    </w:p>
    <w:p>
      <w:pPr>
        <w:pStyle w:val="Compact"/>
        <w:numPr>
          <w:ilvl w:val="0"/>
          <w:numId w:val="1003"/>
        </w:numPr>
      </w:pPr>
      <w:r>
        <w:rPr>
          <w:b/>
          <w:bCs/>
        </w:rPr>
        <w:t xml:space="preserve">Same-property NOI growth:</w:t>
      </w:r>
      <w:r>
        <w:t xml:space="preserve"> </w:t>
      </w:r>
      <w:r>
        <w:t xml:space="preserve">+3.25% to +3.75%</w:t>
      </w:r>
    </w:p>
    <w:p>
      <w:pPr>
        <w:pStyle w:val="FirstParagraph"/>
      </w:pPr>
      <w:r>
        <w:t xml:space="preserve">Importantly, Regency</w:t>
      </w:r>
      <w:r>
        <w:t xml:space="preserve"> </w:t>
      </w:r>
      <w:r>
        <w:rPr>
          <w:b/>
          <w:bCs/>
        </w:rPr>
        <w:t xml:space="preserve">reaffirmed</w:t>
      </w:r>
      <w:r>
        <w:t xml:space="preserve"> </w:t>
      </w:r>
      <w:r>
        <w:t xml:space="preserve">these ranges in April rather than raising them after a strong first quarter. That preserves a reasonable amount of execution cushion, but it also means investors will look for a clear explanation of the expected second-half trajectory—particularly from commencements and development deliveries.</w:t>
      </w:r>
    </w:p>
    <w:bookmarkEnd w:id="13"/>
    <w:bookmarkStart w:id="14" w:name="the-operating-thesis-remains-attractive"/>
    <w:p>
      <w:pPr>
        <w:pStyle w:val="Heading2"/>
      </w:pPr>
      <w:r>
        <w:t xml:space="preserve">The operating thesis remains attractive</w:t>
      </w:r>
    </w:p>
    <w:p>
      <w:pPr>
        <w:pStyle w:val="FirstParagraph"/>
      </w:pPr>
      <w:r>
        <w:t xml:space="preserve">Regency owns and operates a high-quality, predominantly grocery-anchored shopping-center portfolio concentrated in affluent suburban trade areas. At March 31, it had ownership interests in</w:t>
      </w:r>
      <w:r>
        <w:t xml:space="preserve"> </w:t>
      </w:r>
      <w:r>
        <w:rPr>
          <w:b/>
          <w:bCs/>
        </w:rPr>
        <w:t xml:space="preserve">481 retail properties totaling roughly 58.5 million square feet</w:t>
      </w:r>
      <w:r>
        <w:t xml:space="preserve">. The portfolio’s tenant mix and format have supported durable traffic and leasing demand, with grocers, restaurants, health and wellness, off-price, and service retail among the most active categories.</w:t>
      </w:r>
    </w:p>
    <w:p>
      <w:pPr>
        <w:pStyle w:val="BodyText"/>
      </w:pPr>
      <w:r>
        <w:t xml:space="preserve">The core internal-growth engine is compelling:</w:t>
      </w:r>
    </w:p>
    <w:p>
      <w:pPr>
        <w:pStyle w:val="Compact"/>
        <w:numPr>
          <w:ilvl w:val="0"/>
          <w:numId w:val="1004"/>
        </w:numPr>
      </w:pPr>
      <w:r>
        <w:rPr>
          <w:b/>
          <w:bCs/>
        </w:rPr>
        <w:t xml:space="preserve">Scarce quality retail space.</w:t>
      </w:r>
      <w:r>
        <w:t xml:space="preserve"> </w:t>
      </w:r>
      <w:r>
        <w:t xml:space="preserve">Regency’s same-property portfolio was</w:t>
      </w:r>
      <w:r>
        <w:t xml:space="preserve"> </w:t>
      </w:r>
      <w:r>
        <w:rPr>
          <w:b/>
          <w:bCs/>
        </w:rPr>
        <w:t xml:space="preserve">96.6% leased</w:t>
      </w:r>
      <w:r>
        <w:t xml:space="preserve"> </w:t>
      </w:r>
      <w:r>
        <w:t xml:space="preserve">at quarter-end, with anchor occupancy of</w:t>
      </w:r>
      <w:r>
        <w:t xml:space="preserve"> </w:t>
      </w:r>
      <w:r>
        <w:rPr>
          <w:b/>
          <w:bCs/>
        </w:rPr>
        <w:t xml:space="preserve">98.2%</w:t>
      </w:r>
      <w:r>
        <w:t xml:space="preserve">.</w:t>
      </w:r>
    </w:p>
    <w:p>
      <w:pPr>
        <w:pStyle w:val="Compact"/>
        <w:numPr>
          <w:ilvl w:val="0"/>
          <w:numId w:val="1004"/>
        </w:numPr>
      </w:pPr>
      <w:r>
        <w:rPr>
          <w:b/>
          <w:bCs/>
        </w:rPr>
        <w:t xml:space="preserve">Meaningful mark-to-market.</w:t>
      </w:r>
      <w:r>
        <w:t xml:space="preserve"> </w:t>
      </w:r>
      <w:r>
        <w:t xml:space="preserve">The company signed 1.5 million square feet of comparable leases in 1Q at</w:t>
      </w:r>
      <w:r>
        <w:t xml:space="preserve"> </w:t>
      </w:r>
      <w:r>
        <w:rPr>
          <w:b/>
          <w:bCs/>
        </w:rPr>
        <w:t xml:space="preserve">12.1% cash</w:t>
      </w:r>
      <w:r>
        <w:t xml:space="preserve"> </w:t>
      </w:r>
      <w:r>
        <w:t xml:space="preserve">and</w:t>
      </w:r>
      <w:r>
        <w:t xml:space="preserve"> </w:t>
      </w:r>
      <w:r>
        <w:rPr>
          <w:b/>
          <w:bCs/>
        </w:rPr>
        <w:t xml:space="preserve">24.3% straight-line</w:t>
      </w:r>
      <w:r>
        <w:t xml:space="preserve"> </w:t>
      </w:r>
      <w:r>
        <w:t xml:space="preserve">rent spreads.</w:t>
      </w:r>
    </w:p>
    <w:p>
      <w:pPr>
        <w:pStyle w:val="Compact"/>
        <w:numPr>
          <w:ilvl w:val="0"/>
          <w:numId w:val="1004"/>
        </w:numPr>
      </w:pPr>
      <w:r>
        <w:rPr>
          <w:b/>
          <w:bCs/>
        </w:rPr>
        <w:t xml:space="preserve">Future rent commencement.</w:t>
      </w:r>
      <w:r>
        <w:t xml:space="preserve"> </w:t>
      </w:r>
      <w:r>
        <w:t xml:space="preserve">The company cited roughly</w:t>
      </w:r>
      <w:r>
        <w:t xml:space="preserve"> </w:t>
      </w:r>
      <w:r>
        <w:rPr>
          <w:b/>
          <w:bCs/>
        </w:rPr>
        <w:t xml:space="preserve">$42 million of incremental base rent</w:t>
      </w:r>
      <w:r>
        <w:t xml:space="preserve"> </w:t>
      </w:r>
      <w:r>
        <w:t xml:space="preserve">tied to its signed-not-open pipeline.</w:t>
      </w:r>
    </w:p>
    <w:p>
      <w:pPr>
        <w:pStyle w:val="Compact"/>
        <w:numPr>
          <w:ilvl w:val="0"/>
          <w:numId w:val="1004"/>
        </w:numPr>
      </w:pPr>
      <w:r>
        <w:rPr>
          <w:b/>
          <w:bCs/>
        </w:rPr>
        <w:t xml:space="preserve">Embedded escalators.</w:t>
      </w:r>
      <w:r>
        <w:t xml:space="preserve"> </w:t>
      </w:r>
      <w:r>
        <w:t xml:space="preserve">Management noted that 90% of new shop leases carried annual rent steps of at least 3%.</w:t>
      </w:r>
    </w:p>
    <w:p>
      <w:pPr>
        <w:pStyle w:val="Compact"/>
        <w:numPr>
          <w:ilvl w:val="0"/>
          <w:numId w:val="1004"/>
        </w:numPr>
      </w:pPr>
      <w:r>
        <w:rPr>
          <w:b/>
          <w:bCs/>
        </w:rPr>
        <w:t xml:space="preserve">Development as a differentiated growth lever.</w:t>
      </w:r>
      <w:r>
        <w:t xml:space="preserve"> </w:t>
      </w:r>
      <w:r>
        <w:t xml:space="preserve">In-process development and redevelopment totaled</w:t>
      </w:r>
      <w:r>
        <w:t xml:space="preserve"> </w:t>
      </w:r>
      <w:r>
        <w:rPr>
          <w:b/>
          <w:bCs/>
        </w:rPr>
        <w:t xml:space="preserve">$635 million</w:t>
      </w:r>
      <w:r>
        <w:t xml:space="preserve">, with 46% of costs incurred and an estimated blended yield of about 9%.</w:t>
      </w:r>
    </w:p>
    <w:p>
      <w:pPr>
        <w:pStyle w:val="FirstParagraph"/>
      </w:pPr>
      <w:r>
        <w:t xml:space="preserve">That combination gives Regency several paths to growth even if acquisition markets remain selective.</w:t>
      </w:r>
    </w:p>
    <w:bookmarkEnd w:id="14"/>
    <w:bookmarkStart w:id="15" w:name="Xe61714d8e5be66e9654329bca197994eeb32c0a"/>
    <w:p>
      <w:pPr>
        <w:pStyle w:val="Heading2"/>
      </w:pPr>
      <w:r>
        <w:t xml:space="preserve">Development execution is the upside lever</w:t>
      </w:r>
    </w:p>
    <w:p>
      <w:pPr>
        <w:pStyle w:val="FirstParagraph"/>
      </w:pPr>
      <w:r>
        <w:t xml:space="preserve">Regency’s development platform is central to its premium positioning. The company completed approximately</w:t>
      </w:r>
      <w:r>
        <w:t xml:space="preserve"> </w:t>
      </w:r>
      <m:oMath>
        <m:r>
          <m:t>42</m:t>
        </m:r>
        <m:r>
          <m:t>m</m:t>
        </m:r>
        <m:r>
          <m:t>i</m:t>
        </m:r>
        <m:r>
          <m:t>l</m:t>
        </m:r>
        <m:r>
          <m:t>l</m:t>
        </m:r>
        <m:r>
          <m:t>i</m:t>
        </m:r>
        <m:r>
          <m:t>o</m:t>
        </m:r>
        <m:r>
          <m:t>n</m:t>
        </m:r>
        <m:r>
          <m:rPr>
            <m:sty m:val="p"/>
          </m:rPr>
          <m:t>*</m:t>
        </m:r>
        <m:r>
          <m:rPr>
            <m:sty m:val="p"/>
          </m:rPr>
          <m:t>*</m:t>
        </m:r>
        <m:r>
          <m:t>o</m:t>
        </m:r>
        <m:r>
          <m:t>f</m:t>
        </m:r>
        <m:r>
          <m:t>p</m:t>
        </m:r>
        <m:r>
          <m:t>r</m:t>
        </m:r>
        <m:r>
          <m:t>o</m:t>
        </m:r>
        <m:r>
          <m:t>j</m:t>
        </m:r>
        <m:r>
          <m:t>e</m:t>
        </m:r>
        <m:r>
          <m:t>c</m:t>
        </m:r>
        <m:r>
          <m:t>t</m:t>
        </m:r>
        <m:r>
          <m:t>s</m:t>
        </m:r>
        <m:r>
          <m:t>i</m:t>
        </m:r>
        <m:r>
          <m:t>n</m:t>
        </m:r>
        <m:r>
          <m:t>1</m:t>
        </m:r>
        <m:r>
          <m:t>Q</m:t>
        </m:r>
        <m:r>
          <m:t>a</m:t>
        </m:r>
        <m:r>
          <m:t>n</m:t>
        </m:r>
        <m:r>
          <m:t>d</m:t>
        </m:r>
        <m:r>
          <m:t>i</m:t>
        </m:r>
        <m:r>
          <m:t>n</m:t>
        </m:r>
        <m:r>
          <m:t>i</m:t>
        </m:r>
        <m:r>
          <m:t>t</m:t>
        </m:r>
        <m:r>
          <m:t>i</m:t>
        </m:r>
        <m:r>
          <m:t>a</m:t>
        </m:r>
        <m:r>
          <m:t>t</m:t>
        </m:r>
        <m:r>
          <m:t>e</m:t>
        </m:r>
        <m:r>
          <m:t>d</m:t>
        </m:r>
        <m:r>
          <m:rPr>
            <m:sty m:val="p"/>
          </m:rPr>
          <m:t>*</m:t>
        </m:r>
        <m:r>
          <m:rPr>
            <m:sty m:val="p"/>
          </m:rPr>
          <m:t>*</m:t>
        </m:r>
      </m:oMath>
      <w:r>
        <w:rPr>
          <w:b/>
          <w:bCs/>
        </w:rPr>
        <w:t xml:space="preserve">73 million</w:t>
      </w:r>
      <w:r>
        <w:t xml:space="preserve"> </w:t>
      </w:r>
      <w:r>
        <w:t xml:space="preserve">of redevelopment, including the Whole Foods-anchored Crystal Brook Corner project on Long Island. Management has indicated visibility to more than</w:t>
      </w:r>
      <w:r>
        <w:t xml:space="preserve"> </w:t>
      </w:r>
      <w:r>
        <w:rPr>
          <w:b/>
          <w:bCs/>
        </w:rPr>
        <w:t xml:space="preserve">$1 billion of project starts over the next three years</w:t>
      </w:r>
      <w:r>
        <w:t xml:space="preserve">.</w:t>
      </w:r>
    </w:p>
    <w:p>
      <w:pPr>
        <w:pStyle w:val="BodyText"/>
      </w:pPr>
      <w:r>
        <w:t xml:space="preserve">For 2Q, investors should look for:</w:t>
      </w:r>
    </w:p>
    <w:p>
      <w:pPr>
        <w:pStyle w:val="Compact"/>
        <w:numPr>
          <w:ilvl w:val="0"/>
          <w:numId w:val="1005"/>
        </w:numPr>
      </w:pPr>
      <w:r>
        <w:t xml:space="preserve">Updated project costs, estimated yields, leasing progress, and stabilization timing;</w:t>
      </w:r>
    </w:p>
    <w:p>
      <w:pPr>
        <w:pStyle w:val="Compact"/>
        <w:numPr>
          <w:ilvl w:val="0"/>
          <w:numId w:val="1005"/>
        </w:numPr>
      </w:pPr>
      <w:r>
        <w:t xml:space="preserve">Evidence that projects remain on schedule and on budget;</w:t>
      </w:r>
    </w:p>
    <w:p>
      <w:pPr>
        <w:pStyle w:val="Compact"/>
        <w:numPr>
          <w:ilvl w:val="0"/>
          <w:numId w:val="1005"/>
        </w:numPr>
      </w:pPr>
      <w:r>
        <w:t xml:space="preserve">Incremental development starts or a larger multiyear pipeline;</w:t>
      </w:r>
    </w:p>
    <w:p>
      <w:pPr>
        <w:pStyle w:val="Compact"/>
        <w:numPr>
          <w:ilvl w:val="0"/>
          <w:numId w:val="1005"/>
        </w:numPr>
      </w:pPr>
      <w:r>
        <w:t xml:space="preserve">Commentary on construction costs, tariffs, labor, permitting, and retailer pre-leasing;</w:t>
      </w:r>
    </w:p>
    <w:p>
      <w:pPr>
        <w:pStyle w:val="Compact"/>
        <w:numPr>
          <w:ilvl w:val="0"/>
          <w:numId w:val="1005"/>
        </w:numPr>
      </w:pPr>
      <w:r>
        <w:t xml:space="preserve">A revised view on 2026 development/redevelopment spend, currently guided to roughly</w:t>
      </w:r>
      <w:r>
        <w:t xml:space="preserve"> </w:t>
      </w:r>
      <w:r>
        <w:rPr>
          <w:b/>
          <w:bCs/>
        </w:rPr>
        <w:t xml:space="preserve">$350 million</w:t>
      </w:r>
      <w:r>
        <w:t xml:space="preserve">.</w:t>
      </w:r>
    </w:p>
    <w:p>
      <w:pPr>
        <w:pStyle w:val="FirstParagraph"/>
      </w:pPr>
      <w:r>
        <w:t xml:space="preserve">The risk is that development is inherently lumpy, and delayed openings can shift NOI between quarters. The opportunity is that successful deliveries offer higher returns than buying stabilized centers at prevailing private-market cap rates.</w:t>
      </w:r>
    </w:p>
    <w:bookmarkEnd w:id="15"/>
    <w:bookmarkStart w:id="16" w:name="X4ccc862725737d2c0180dd63db507149087e9ca"/>
    <w:p>
      <w:pPr>
        <w:pStyle w:val="Heading2"/>
      </w:pPr>
      <w:r>
        <w:t xml:space="preserve">Balance sheet: sound, but refinancing and capital-allocation commentary matter</w:t>
      </w:r>
    </w:p>
    <w:p>
      <w:pPr>
        <w:pStyle w:val="FirstParagraph"/>
      </w:pPr>
      <w:r>
        <w:t xml:space="preserve">Regency entered the year from a position of financial strength:</w:t>
      </w:r>
    </w:p>
    <w:p>
      <w:pPr>
        <w:pStyle w:val="Compact"/>
        <w:numPr>
          <w:ilvl w:val="0"/>
          <w:numId w:val="1006"/>
        </w:numPr>
      </w:pPr>
      <w:r>
        <w:rPr>
          <w:b/>
          <w:bCs/>
        </w:rPr>
        <w:t xml:space="preserve">Net debt and preferred stock / TTM operating EBITDAre:</w:t>
      </w:r>
      <w:r>
        <w:t xml:space="preserve"> </w:t>
      </w:r>
      <w:r>
        <w:rPr>
          <w:b/>
          <w:bCs/>
        </w:rPr>
        <w:t xml:space="preserve">5.2x</w:t>
      </w:r>
      <w:r>
        <w:t xml:space="preserve"> </w:t>
      </w:r>
      <w:r>
        <w:t xml:space="preserve">at March 31, near the low end of its 5.0x–5.5x target range.</w:t>
      </w:r>
    </w:p>
    <w:p>
      <w:pPr>
        <w:pStyle w:val="Compact"/>
        <w:numPr>
          <w:ilvl w:val="0"/>
          <w:numId w:val="1006"/>
        </w:numPr>
      </w:pPr>
      <w:r>
        <w:rPr>
          <w:b/>
          <w:bCs/>
        </w:rPr>
        <w:t xml:space="preserve">Revolver availability:</w:t>
      </w:r>
      <w:r>
        <w:t xml:space="preserve"> </w:t>
      </w:r>
      <w:r>
        <w:t xml:space="preserve">approximately</w:t>
      </w:r>
      <w:r>
        <w:t xml:space="preserve"> </w:t>
      </w:r>
      <w:r>
        <w:rPr>
          <w:b/>
          <w:bCs/>
        </w:rPr>
        <w:t xml:space="preserve">$1.46 billion</w:t>
      </w:r>
      <w:r>
        <w:t xml:space="preserve">.</w:t>
      </w:r>
    </w:p>
    <w:p>
      <w:pPr>
        <w:pStyle w:val="Compact"/>
        <w:numPr>
          <w:ilvl w:val="0"/>
          <w:numId w:val="1006"/>
        </w:numPr>
      </w:pPr>
      <w:r>
        <w:rPr>
          <w:b/>
          <w:bCs/>
        </w:rPr>
        <w:t xml:space="preserve">Credit ratings:</w:t>
      </w:r>
      <w:r>
        <w:t xml:space="preserve"> </w:t>
      </w:r>
      <w:r>
        <w:t xml:space="preserve">A- from S&amp;P and A3 from Moody’s, both stable.</w:t>
      </w:r>
    </w:p>
    <w:p>
      <w:pPr>
        <w:pStyle w:val="Compact"/>
        <w:numPr>
          <w:ilvl w:val="0"/>
          <w:numId w:val="1006"/>
        </w:numPr>
      </w:pPr>
      <w:r>
        <w:t xml:space="preserve">In February, Regency issued</w:t>
      </w:r>
      <w:r>
        <w:t xml:space="preserve"> </w:t>
      </w:r>
      <w:r>
        <w:rPr>
          <w:b/>
          <w:bCs/>
        </w:rPr>
        <w:t xml:space="preserve">$450 million of 2033 senior unsecured notes at 4.50%</w:t>
      </w:r>
      <w:r>
        <w:t xml:space="preserve">, then among the company’s best credit spreads.</w:t>
      </w:r>
    </w:p>
    <w:p>
      <w:pPr>
        <w:pStyle w:val="Compact"/>
        <w:numPr>
          <w:ilvl w:val="0"/>
          <w:numId w:val="1006"/>
        </w:numPr>
      </w:pPr>
      <w:r>
        <w:t xml:space="preserve">About</w:t>
      </w:r>
      <w:r>
        <w:t xml:space="preserve"> </w:t>
      </w:r>
      <w:r>
        <w:rPr>
          <w:b/>
          <w:bCs/>
        </w:rPr>
        <w:t xml:space="preserve">$1.0 billion</w:t>
      </w:r>
      <w:r>
        <w:t xml:space="preserve"> </w:t>
      </w:r>
      <w:r>
        <w:t xml:space="preserve">of loans were set to mature over the following 12 months as of March 31, including Regency’s share of joint-venture maturities.</w:t>
      </w:r>
    </w:p>
    <w:p>
      <w:pPr>
        <w:pStyle w:val="FirstParagraph"/>
      </w:pPr>
      <w:r>
        <w:t xml:space="preserve">The balance sheet is not the near-term concern; rather, the question is</w:t>
      </w:r>
      <w:r>
        <w:t xml:space="preserve"> </w:t>
      </w:r>
      <w:r>
        <w:rPr>
          <w:b/>
          <w:bCs/>
        </w:rPr>
        <w:t xml:space="preserve">how management deploys its flexibility</w:t>
      </w:r>
      <w:r>
        <w:t xml:space="preserve">. Regency has both a</w:t>
      </w:r>
      <w:r>
        <w:t xml:space="preserve"> </w:t>
      </w:r>
      <m:oMath>
        <m:r>
          <m:t>500</m:t>
        </m:r>
        <m:r>
          <m:t>m</m:t>
        </m:r>
        <m:r>
          <m:t>i</m:t>
        </m:r>
        <m:r>
          <m:t>l</m:t>
        </m:r>
        <m:r>
          <m:t>l</m:t>
        </m:r>
        <m:r>
          <m:t>i</m:t>
        </m:r>
        <m:r>
          <m:t>o</m:t>
        </m:r>
        <m:r>
          <m:t>n</m:t>
        </m:r>
        <m:r>
          <m:t>A</m:t>
        </m:r>
        <m:r>
          <m:t>T</m:t>
        </m:r>
        <m:r>
          <m:t>M</m:t>
        </m:r>
        <m:r>
          <m:t>c</m:t>
        </m:r>
        <m:r>
          <m:t>a</m:t>
        </m:r>
        <m:r>
          <m:t>p</m:t>
        </m:r>
        <m:r>
          <m:t>a</m:t>
        </m:r>
        <m:r>
          <m:t>c</m:t>
        </m:r>
        <m:r>
          <m:t>i</m:t>
        </m:r>
        <m:r>
          <m:t>t</m:t>
        </m:r>
        <m:r>
          <m:t>y</m:t>
        </m:r>
        <m:r>
          <m:t>a</m:t>
        </m:r>
        <m:r>
          <m:t>n</m:t>
        </m:r>
        <m:r>
          <m:t>d</m:t>
        </m:r>
        <m:r>
          <m:t>a</m:t>
        </m:r>
        <m:r>
          <m:t>r</m:t>
        </m:r>
        <m:r>
          <m:t>e</m:t>
        </m:r>
        <m:r>
          <m:t>f</m:t>
        </m:r>
        <m:r>
          <m:t>r</m:t>
        </m:r>
        <m:r>
          <m:t>e</m:t>
        </m:r>
        <m:r>
          <m:t>s</m:t>
        </m:r>
        <m:r>
          <m:t>h</m:t>
        </m:r>
        <m:r>
          <m:t>e</m:t>
        </m:r>
        <m:r>
          <m:t>d</m:t>
        </m:r>
        <m:r>
          <m:rPr>
            <m:sty m:val="p"/>
          </m:rPr>
          <m:t>*</m:t>
        </m:r>
        <m:r>
          <m:rPr>
            <m:sty m:val="p"/>
          </m:rPr>
          <m:t>*</m:t>
        </m:r>
      </m:oMath>
      <w:r>
        <w:t xml:space="preserve">500 million share-repurchase authorization**, while stating that it has no current need to issue equity or sell properties to fund its development pipeline. Investors should listen for the threshold at which management would favor acquisitions, development, share repurchases, or opportunistic equity issuance.</w:t>
      </w:r>
    </w:p>
    <w:bookmarkEnd w:id="16"/>
    <w:bookmarkStart w:id="22" w:name="risks-to-watch"/>
    <w:p>
      <w:pPr>
        <w:pStyle w:val="Heading2"/>
      </w:pPr>
      <w:r>
        <w:t xml:space="preserve">Risks to watch</w:t>
      </w:r>
    </w:p>
    <w:bookmarkStart w:id="17" w:name="X53cf6435fd6cab27a461e8d5af9d925c2c4cba5"/>
    <w:p>
      <w:pPr>
        <w:pStyle w:val="Heading3"/>
      </w:pPr>
      <w:r>
        <w:t xml:space="preserve">1. Tenant health and shop-space pressure</w:t>
      </w:r>
    </w:p>
    <w:p>
      <w:pPr>
        <w:pStyle w:val="FirstParagraph"/>
      </w:pPr>
      <w:r>
        <w:t xml:space="preserve">Management described tenant sales, collections, and foot traffic as healthy in 1Q. However, the company moved one tenant lease to cash-basis accounting, and uncollectible lease income increased year over year. Bankrupt tenants still occupying Regency centers represented</w:t>
      </w:r>
      <w:r>
        <w:t xml:space="preserve"> </w:t>
      </w:r>
      <w:r>
        <w:rPr>
          <w:b/>
          <w:bCs/>
        </w:rPr>
        <w:t xml:space="preserve">0.4% of pro-rata annual base rent</w:t>
      </w:r>
      <w:r>
        <w:t xml:space="preserve"> </w:t>
      </w:r>
      <w:r>
        <w:t xml:space="preserve">at March 31. That is manageable, but any worsening in bankruptcies, bad debt, or small-shop demand would matter.</w:t>
      </w:r>
    </w:p>
    <w:bookmarkEnd w:id="17"/>
    <w:bookmarkStart w:id="18" w:name="Xca34b6ce4b0340e4a817d5885c8372e2089ee90"/>
    <w:p>
      <w:pPr>
        <w:pStyle w:val="Heading3"/>
      </w:pPr>
      <w:r>
        <w:t xml:space="preserve">2. Expense pressure and recovery timing</w:t>
      </w:r>
    </w:p>
    <w:p>
      <w:pPr>
        <w:pStyle w:val="FirstParagraph"/>
      </w:pPr>
      <w:r>
        <w:t xml:space="preserve">The 2Q comparison is affected by prior-year expense recoveries. Investors should separate underlying base-rent growth from volatile recovery and reconciliation items, especially given rising property taxes and operating costs.</w:t>
      </w:r>
    </w:p>
    <w:bookmarkEnd w:id="18"/>
    <w:bookmarkStart w:id="19" w:name="Xc53c9e1590ff26a975f3bfaff8b7634a6ed3857"/>
    <w:p>
      <w:pPr>
        <w:pStyle w:val="Heading3"/>
      </w:pPr>
      <w:r>
        <w:t xml:space="preserve">3. Development timing and costs</w:t>
      </w:r>
    </w:p>
    <w:p>
      <w:pPr>
        <w:pStyle w:val="FirstParagraph"/>
      </w:pPr>
      <w:r>
        <w:t xml:space="preserve">The pipeline is an advantage, but it introduces exposure to permitting, construction, labor, materials, and retailer-opening delays. Regency itself flagged potential construction-cost pressure from tariffs and inflation.</w:t>
      </w:r>
    </w:p>
    <w:bookmarkEnd w:id="19"/>
    <w:bookmarkStart w:id="20" w:name="X53618b0ff731584dc67401c00f566f278d788b1"/>
    <w:p>
      <w:pPr>
        <w:pStyle w:val="Heading3"/>
      </w:pPr>
      <w:r>
        <w:t xml:space="preserve">4. Rates and REIT valuation</w:t>
      </w:r>
    </w:p>
    <w:p>
      <w:pPr>
        <w:pStyle w:val="FirstParagraph"/>
      </w:pPr>
      <w:r>
        <w:t xml:space="preserve">Although Regency has substantial fixed-rate debt and strong liquidity, changes in rates influence financing costs, private-market values, cap rates, and the public valuation investors assign to the shares.</w:t>
      </w:r>
    </w:p>
    <w:bookmarkEnd w:id="20"/>
    <w:bookmarkStart w:id="21" w:name="Xc733102da3e6683c10b39b90cd2a6a86d2d2292"/>
    <w:p>
      <w:pPr>
        <w:pStyle w:val="Heading3"/>
      </w:pPr>
      <w:r>
        <w:t xml:space="preserve">5. Elevated expectations</w:t>
      </w:r>
    </w:p>
    <w:p>
      <w:pPr>
        <w:pStyle w:val="FirstParagraph"/>
      </w:pPr>
      <w:r>
        <w:t xml:space="preserve">With REG up about 17% year to date through July 28, the market may require more than an in-line quarter. Maintaining guidance alongside sustained leasing and commencement momentum would support the thesis; a guide raise or improved development outlook would be the clearer positive catalyst.</w:t>
      </w:r>
    </w:p>
    <w:bookmarkEnd w:id="21"/>
    <w:bookmarkEnd w:id="22"/>
    <w:bookmarkStart w:id="24" w:name="bottom-line"/>
    <w:p>
      <w:pPr>
        <w:pStyle w:val="Heading2"/>
      </w:pPr>
      <w:r>
        <w:t xml:space="preserve">Bottom line</w:t>
      </w:r>
    </w:p>
    <w:p>
      <w:pPr>
        <w:pStyle w:val="FirstParagraph"/>
      </w:pPr>
      <w:r>
        <w:t xml:space="preserve">Regency’s 2Q26 report should be assessed as a</w:t>
      </w:r>
      <w:r>
        <w:t xml:space="preserve"> </w:t>
      </w:r>
      <w:r>
        <w:rPr>
          <w:b/>
          <w:bCs/>
        </w:rPr>
        <w:t xml:space="preserve">quality-of-growth</w:t>
      </w:r>
      <w:r>
        <w:t xml:space="preserve"> </w:t>
      </w:r>
      <w:r>
        <w:t xml:space="preserve">quarter. The company has already signaled a more difficult same-property NOI comparison, so a moderation from the unusually strong 2Q25 growth rate should not be surprising. The more important indicators are whether its high occupancy, double-digit releasing spreads, signed-not-open rent pipeline, and development deliveries continue to underpin 2026 Core Operating Earnings guidance of</w:t>
      </w:r>
      <w:r>
        <w:t xml:space="preserve"> </w:t>
      </w:r>
      <m:oMath>
        <m:r>
          <m:t>4.59</m:t>
        </m:r>
        <m:r>
          <m:rPr>
            <m:sty m:val="p"/>
          </m:rPr>
          <m:t>–</m:t>
        </m:r>
      </m:oMath>
      <w:r>
        <w:rPr>
          <w:b/>
          <w:bCs/>
        </w:rPr>
        <w:t xml:space="preserve">4.63 per share</w:t>
      </w:r>
      <w:r>
        <w:t xml:space="preserve">.</w:t>
      </w:r>
    </w:p>
    <w:p>
      <w:pPr>
        <w:pStyle w:val="BodyText"/>
      </w:pPr>
      <w:r>
        <w:rPr>
          <w:b/>
          <w:bCs/>
        </w:rPr>
        <w:t xml:space="preserve">Bullish read-through:</w:t>
      </w:r>
      <w:r>
        <w:t xml:space="preserve"> </w:t>
      </w:r>
      <w:r>
        <w:t xml:space="preserve">resilient base-rent growth, a narrowing leased-to-commenced gap, sustained leasing spreads, stable tenant credit, continued project delivery, and maintained-or-raised guidance.</w:t>
      </w:r>
    </w:p>
    <w:p>
      <w:pPr>
        <w:pStyle w:val="BodyText"/>
      </w:pPr>
      <w:r>
        <w:rPr>
          <w:b/>
          <w:bCs/>
        </w:rPr>
        <w:t xml:space="preserve">Bearish read-through:</w:t>
      </w:r>
      <w:r>
        <w:t xml:space="preserve"> </w:t>
      </w:r>
      <w:r>
        <w:t xml:space="preserve">a sharper-than-expected NOI slowdown driven by more than comp effects, weakening collections or shop demand, delayed development activity, higher costs, or commentary that pushes expected earnings contribution into 2027.</w:t>
      </w:r>
    </w:p>
    <w:bookmarkStart w:id="23" w:name="research-sources"/>
    <w:p>
      <w:pPr>
        <w:pStyle w:val="Heading3"/>
      </w:pPr>
      <w:r>
        <w:t xml:space="preserve">Research sources</w:t>
      </w:r>
    </w:p>
    <w:p>
      <w:pPr>
        <w:pStyle w:val="Compact"/>
        <w:numPr>
          <w:ilvl w:val="0"/>
          <w:numId w:val="1007"/>
        </w:numPr>
      </w:pPr>
      <w:r>
        <w:t xml:space="preserve">Regency Centers 1Q26 earnings release and earnings-call transcript, April 29–30, 2026</w:t>
      </w:r>
    </w:p>
    <w:p>
      <w:pPr>
        <w:pStyle w:val="Compact"/>
        <w:numPr>
          <w:ilvl w:val="0"/>
          <w:numId w:val="1007"/>
        </w:numPr>
      </w:pPr>
      <w:r>
        <w:t xml:space="preserve">Regency Centers 1Q26 Form 10-Q, filed May 2026</w:t>
      </w:r>
    </w:p>
    <w:p>
      <w:pPr>
        <w:pStyle w:val="Compact"/>
        <w:numPr>
          <w:ilvl w:val="0"/>
          <w:numId w:val="1007"/>
        </w:numPr>
      </w:pPr>
      <w:r>
        <w:t xml:space="preserve">Regency Centers 2Q25 earnings release, July 29, 2025</w:t>
      </w:r>
    </w:p>
    <w:p>
      <w:pPr>
        <w:pStyle w:val="Compact"/>
        <w:numPr>
          <w:ilvl w:val="0"/>
          <w:numId w:val="1007"/>
        </w:numPr>
      </w:pPr>
      <w:r>
        <w:t xml:space="preserve">REG historical share-price data through July 28, 2026</w:t>
      </w:r>
    </w:p>
    <w:bookmarkEnd w:id="23"/>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2026-07-29T02:09:45Z</dcterms:created>
  <dcterms:modified xsi:type="dcterms:W3CDTF">2026-07-29T02:09:45Z</dcterms:modified>
</cp:coreProperties>
</file>

<file path=docProps/custom.xml><?xml version="1.0" encoding="utf-8"?>
<Properties xmlns="http://schemas.openxmlformats.org/officeDocument/2006/custom-properties" xmlns:vt="http://schemas.openxmlformats.org/officeDocument/2006/docPropsVTypes"/>
</file>